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161CC3" w14:paraId="6B9B11DB" w14:textId="77777777">
        <w:tblPrEx>
          <w:tblCellMar>
            <w:top w:w="0" w:type="dxa"/>
            <w:bottom w:w="0" w:type="dxa"/>
          </w:tblCellMar>
        </w:tblPrEx>
        <w:trPr>
          <w:tblCellSpacing w:w="60" w:type="dxa"/>
        </w:trPr>
        <w:tc>
          <w:tcPr>
            <w:tcW w:w="1200" w:type="pct"/>
            <w:shd w:val="clear" w:color="auto" w:fill="E7F0F9"/>
          </w:tcPr>
          <w:p w14:paraId="69DA82B9" w14:textId="77777777" w:rsidR="00161CC3" w:rsidRDefault="00000000">
            <w:pPr>
              <w:spacing w:after="0" w:line="240" w:lineRule="auto"/>
            </w:pPr>
            <w:r>
              <w:rPr>
                <w:b/>
              </w:rPr>
              <w:t>RKP broj</w:t>
            </w:r>
          </w:p>
        </w:tc>
        <w:tc>
          <w:tcPr>
            <w:tcW w:w="0" w:type="auto"/>
            <w:shd w:val="clear" w:color="auto" w:fill="E7F0F9"/>
          </w:tcPr>
          <w:p w14:paraId="7ED5D00A" w14:textId="77777777" w:rsidR="00161CC3" w:rsidRDefault="00000000">
            <w:pPr>
              <w:spacing w:after="0" w:line="240" w:lineRule="auto"/>
            </w:pPr>
            <w:r>
              <w:t>37927</w:t>
            </w:r>
          </w:p>
        </w:tc>
      </w:tr>
      <w:tr w:rsidR="00161CC3" w14:paraId="5F91E3E8" w14:textId="77777777">
        <w:tblPrEx>
          <w:tblCellMar>
            <w:top w:w="0" w:type="dxa"/>
            <w:bottom w:w="0" w:type="dxa"/>
          </w:tblCellMar>
        </w:tblPrEx>
        <w:trPr>
          <w:tblCellSpacing w:w="60" w:type="dxa"/>
        </w:trPr>
        <w:tc>
          <w:tcPr>
            <w:tcW w:w="1200" w:type="pct"/>
            <w:shd w:val="clear" w:color="auto" w:fill="E7F0F9"/>
          </w:tcPr>
          <w:p w14:paraId="3708F313" w14:textId="77777777" w:rsidR="00161CC3" w:rsidRDefault="00000000">
            <w:pPr>
              <w:spacing w:after="0" w:line="240" w:lineRule="auto"/>
            </w:pPr>
            <w:r>
              <w:rPr>
                <w:b/>
              </w:rPr>
              <w:t>Naziv obveznika</w:t>
            </w:r>
          </w:p>
        </w:tc>
        <w:tc>
          <w:tcPr>
            <w:tcW w:w="0" w:type="auto"/>
            <w:shd w:val="clear" w:color="auto" w:fill="E7F0F9"/>
          </w:tcPr>
          <w:p w14:paraId="6D61E4C2" w14:textId="77777777" w:rsidR="00161CC3" w:rsidRDefault="00000000">
            <w:pPr>
              <w:spacing w:after="0" w:line="240" w:lineRule="auto"/>
            </w:pPr>
            <w:r>
              <w:t>GRAD LABIN</w:t>
            </w:r>
          </w:p>
        </w:tc>
      </w:tr>
      <w:tr w:rsidR="00161CC3" w14:paraId="5C2DE96D" w14:textId="77777777">
        <w:tblPrEx>
          <w:tblCellMar>
            <w:top w:w="0" w:type="dxa"/>
            <w:bottom w:w="0" w:type="dxa"/>
          </w:tblCellMar>
        </w:tblPrEx>
        <w:trPr>
          <w:tblCellSpacing w:w="60" w:type="dxa"/>
        </w:trPr>
        <w:tc>
          <w:tcPr>
            <w:tcW w:w="1200" w:type="pct"/>
            <w:shd w:val="clear" w:color="auto" w:fill="E7F0F9"/>
          </w:tcPr>
          <w:p w14:paraId="7AE117D0" w14:textId="77777777" w:rsidR="00161CC3" w:rsidRDefault="00000000">
            <w:pPr>
              <w:spacing w:after="0" w:line="240" w:lineRule="auto"/>
            </w:pPr>
            <w:r>
              <w:rPr>
                <w:b/>
              </w:rPr>
              <w:t>Razina</w:t>
            </w:r>
          </w:p>
        </w:tc>
        <w:tc>
          <w:tcPr>
            <w:tcW w:w="0" w:type="auto"/>
            <w:shd w:val="clear" w:color="auto" w:fill="E7F0F9"/>
          </w:tcPr>
          <w:p w14:paraId="285B9348" w14:textId="77777777" w:rsidR="00161CC3" w:rsidRDefault="00000000">
            <w:pPr>
              <w:spacing w:after="0" w:line="240" w:lineRule="auto"/>
            </w:pPr>
            <w:r>
              <w:t>22</w:t>
            </w:r>
          </w:p>
        </w:tc>
      </w:tr>
    </w:tbl>
    <w:p w14:paraId="6860E43F" w14:textId="77777777" w:rsidR="00161CC3" w:rsidRDefault="00000000">
      <w:r>
        <w:br/>
      </w:r>
    </w:p>
    <w:p w14:paraId="68212312" w14:textId="77777777" w:rsidR="00161CC3" w:rsidRDefault="00000000">
      <w:pPr>
        <w:spacing w:line="240" w:lineRule="auto"/>
        <w:jc w:val="center"/>
      </w:pPr>
      <w:r>
        <w:rPr>
          <w:b/>
          <w:sz w:val="28"/>
        </w:rPr>
        <w:t>BILJEŠKE UZ FINANCIJSKE IZVJEŠTAJE</w:t>
      </w:r>
    </w:p>
    <w:p w14:paraId="5A4B4FBD" w14:textId="77777777" w:rsidR="00161CC3" w:rsidRDefault="00000000">
      <w:pPr>
        <w:spacing w:line="240" w:lineRule="auto"/>
        <w:jc w:val="center"/>
      </w:pPr>
      <w:r>
        <w:rPr>
          <w:b/>
          <w:sz w:val="28"/>
        </w:rPr>
        <w:t>ZA RAZDOBLJE</w:t>
      </w:r>
    </w:p>
    <w:p w14:paraId="163EFC93" w14:textId="77777777" w:rsidR="00161CC3" w:rsidRDefault="00000000">
      <w:pPr>
        <w:spacing w:line="240" w:lineRule="auto"/>
        <w:jc w:val="center"/>
      </w:pPr>
      <w:r>
        <w:rPr>
          <w:b/>
          <w:sz w:val="28"/>
        </w:rPr>
        <w:t>I - XII 2025.</w:t>
      </w:r>
    </w:p>
    <w:p w14:paraId="096C50FF" w14:textId="77777777" w:rsidR="00161CC3" w:rsidRDefault="00161CC3"/>
    <w:p w14:paraId="1B6C05F4" w14:textId="77777777" w:rsidR="00161CC3" w:rsidRDefault="00000000">
      <w:pPr>
        <w:keepNext/>
        <w:spacing w:line="240" w:lineRule="auto"/>
        <w:jc w:val="center"/>
      </w:pPr>
      <w:r>
        <w:rPr>
          <w:b/>
          <w:sz w:val="28"/>
        </w:rPr>
        <w:t>Izvještaj o prihodima i rashodima, primicima i izdacima</w:t>
      </w:r>
    </w:p>
    <w:p w14:paraId="1A2D27C7" w14:textId="77777777" w:rsidR="00161CC3"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48665CB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5BB15E"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5B04634"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8217AE"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D31913"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759D7C"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275EA2" w14:textId="77777777" w:rsidR="00161CC3" w:rsidRDefault="00000000">
            <w:pPr>
              <w:keepNext/>
              <w:keepLines/>
              <w:spacing w:after="0" w:line="240" w:lineRule="auto"/>
              <w:jc w:val="center"/>
            </w:pPr>
            <w:r>
              <w:rPr>
                <w:b/>
                <w:sz w:val="18"/>
              </w:rPr>
              <w:t>Indeks (%)</w:t>
            </w:r>
          </w:p>
        </w:tc>
      </w:tr>
      <w:tr w:rsidR="00161CC3" w14:paraId="1746C442" w14:textId="77777777">
        <w:tblPrEx>
          <w:tblCellMar>
            <w:top w:w="0" w:type="dxa"/>
            <w:bottom w:w="0" w:type="dxa"/>
          </w:tblCellMar>
        </w:tblPrEx>
        <w:trPr>
          <w:cantSplit/>
          <w:trHeight w:val="560"/>
        </w:trPr>
        <w:tc>
          <w:tcPr>
            <w:tcW w:w="700" w:type="dxa"/>
            <w:tcMar>
              <w:top w:w="0" w:type="dxa"/>
              <w:bottom w:w="0" w:type="dxa"/>
            </w:tcMar>
            <w:vAlign w:val="center"/>
          </w:tcPr>
          <w:p w14:paraId="19FFE007" w14:textId="77777777" w:rsidR="00161CC3" w:rsidRDefault="00000000">
            <w:pPr>
              <w:keepNext/>
              <w:keepLines/>
              <w:spacing w:after="0" w:line="240" w:lineRule="auto"/>
            </w:pPr>
            <w:r>
              <w:rPr>
                <w:sz w:val="18"/>
              </w:rPr>
              <w:t>6</w:t>
            </w:r>
          </w:p>
        </w:tc>
        <w:tc>
          <w:tcPr>
            <w:tcW w:w="3180" w:type="dxa"/>
            <w:tcMar>
              <w:top w:w="0" w:type="dxa"/>
              <w:bottom w:w="0" w:type="dxa"/>
            </w:tcMar>
            <w:vAlign w:val="center"/>
          </w:tcPr>
          <w:p w14:paraId="08423693" w14:textId="77777777" w:rsidR="00161CC3"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6F346A8F" w14:textId="77777777" w:rsidR="00161CC3" w:rsidRDefault="00000000">
            <w:pPr>
              <w:keepNext/>
              <w:keepLines/>
              <w:spacing w:after="0" w:line="240" w:lineRule="auto"/>
            </w:pPr>
            <w:r>
              <w:rPr>
                <w:sz w:val="18"/>
              </w:rPr>
              <w:t>6</w:t>
            </w:r>
          </w:p>
        </w:tc>
        <w:tc>
          <w:tcPr>
            <w:tcW w:w="1860" w:type="dxa"/>
            <w:tcMar>
              <w:top w:w="0" w:type="dxa"/>
              <w:bottom w:w="0" w:type="dxa"/>
            </w:tcMar>
            <w:vAlign w:val="center"/>
          </w:tcPr>
          <w:p w14:paraId="48E8E2E4" w14:textId="77777777" w:rsidR="00161CC3" w:rsidRDefault="00000000">
            <w:pPr>
              <w:keepNext/>
              <w:keepLines/>
              <w:spacing w:after="0" w:line="240" w:lineRule="auto"/>
              <w:jc w:val="right"/>
            </w:pPr>
            <w:r>
              <w:rPr>
                <w:sz w:val="18"/>
              </w:rPr>
              <w:t>14.111.067,49</w:t>
            </w:r>
          </w:p>
        </w:tc>
        <w:tc>
          <w:tcPr>
            <w:tcW w:w="1860" w:type="dxa"/>
            <w:tcMar>
              <w:top w:w="0" w:type="dxa"/>
              <w:bottom w:w="0" w:type="dxa"/>
            </w:tcMar>
            <w:vAlign w:val="center"/>
          </w:tcPr>
          <w:p w14:paraId="295510E2" w14:textId="77777777" w:rsidR="00161CC3" w:rsidRDefault="00000000">
            <w:pPr>
              <w:keepNext/>
              <w:keepLines/>
              <w:spacing w:after="0" w:line="240" w:lineRule="auto"/>
              <w:jc w:val="right"/>
            </w:pPr>
            <w:r>
              <w:rPr>
                <w:sz w:val="18"/>
              </w:rPr>
              <w:t>14.976.718,79</w:t>
            </w:r>
          </w:p>
        </w:tc>
        <w:tc>
          <w:tcPr>
            <w:tcW w:w="700" w:type="dxa"/>
            <w:tcMar>
              <w:top w:w="0" w:type="dxa"/>
              <w:bottom w:w="0" w:type="dxa"/>
            </w:tcMar>
            <w:vAlign w:val="center"/>
          </w:tcPr>
          <w:p w14:paraId="3F756F97" w14:textId="77777777" w:rsidR="00161CC3" w:rsidRDefault="00000000">
            <w:pPr>
              <w:keepNext/>
              <w:keepLines/>
              <w:spacing w:after="0" w:line="240" w:lineRule="auto"/>
              <w:jc w:val="right"/>
            </w:pPr>
            <w:r>
              <w:rPr>
                <w:sz w:val="18"/>
              </w:rPr>
              <w:t>106,1</w:t>
            </w:r>
          </w:p>
        </w:tc>
      </w:tr>
      <w:tr w:rsidR="00161CC3" w14:paraId="0581DEB3" w14:textId="77777777">
        <w:tblPrEx>
          <w:tblCellMar>
            <w:top w:w="0" w:type="dxa"/>
            <w:bottom w:w="0" w:type="dxa"/>
          </w:tblCellMar>
        </w:tblPrEx>
        <w:trPr>
          <w:cantSplit/>
          <w:trHeight w:val="560"/>
        </w:trPr>
        <w:tc>
          <w:tcPr>
            <w:tcW w:w="700" w:type="dxa"/>
            <w:tcMar>
              <w:top w:w="0" w:type="dxa"/>
              <w:bottom w:w="0" w:type="dxa"/>
            </w:tcMar>
            <w:vAlign w:val="center"/>
          </w:tcPr>
          <w:p w14:paraId="10E3C7A2" w14:textId="77777777" w:rsidR="00161CC3" w:rsidRDefault="00000000">
            <w:pPr>
              <w:keepNext/>
              <w:keepLines/>
              <w:spacing w:after="0" w:line="240" w:lineRule="auto"/>
            </w:pPr>
            <w:r>
              <w:rPr>
                <w:sz w:val="18"/>
              </w:rPr>
              <w:t>3</w:t>
            </w:r>
          </w:p>
        </w:tc>
        <w:tc>
          <w:tcPr>
            <w:tcW w:w="3180" w:type="dxa"/>
            <w:tcMar>
              <w:top w:w="0" w:type="dxa"/>
              <w:bottom w:w="0" w:type="dxa"/>
            </w:tcMar>
            <w:vAlign w:val="center"/>
          </w:tcPr>
          <w:p w14:paraId="0D6E5969" w14:textId="77777777" w:rsidR="00161CC3"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5D68D687" w14:textId="77777777" w:rsidR="00161CC3" w:rsidRDefault="00000000">
            <w:pPr>
              <w:keepNext/>
              <w:keepLines/>
              <w:spacing w:after="0" w:line="240" w:lineRule="auto"/>
            </w:pPr>
            <w:r>
              <w:rPr>
                <w:sz w:val="18"/>
              </w:rPr>
              <w:t>3</w:t>
            </w:r>
          </w:p>
        </w:tc>
        <w:tc>
          <w:tcPr>
            <w:tcW w:w="1860" w:type="dxa"/>
            <w:tcMar>
              <w:top w:w="0" w:type="dxa"/>
              <w:bottom w:w="0" w:type="dxa"/>
            </w:tcMar>
            <w:vAlign w:val="center"/>
          </w:tcPr>
          <w:p w14:paraId="19FADA87" w14:textId="77777777" w:rsidR="00161CC3" w:rsidRDefault="00000000">
            <w:pPr>
              <w:keepNext/>
              <w:keepLines/>
              <w:spacing w:after="0" w:line="240" w:lineRule="auto"/>
              <w:jc w:val="right"/>
            </w:pPr>
            <w:r>
              <w:rPr>
                <w:sz w:val="18"/>
              </w:rPr>
              <w:t>11.054.608,91</w:t>
            </w:r>
          </w:p>
        </w:tc>
        <w:tc>
          <w:tcPr>
            <w:tcW w:w="1860" w:type="dxa"/>
            <w:tcMar>
              <w:top w:w="0" w:type="dxa"/>
              <w:bottom w:w="0" w:type="dxa"/>
            </w:tcMar>
            <w:vAlign w:val="center"/>
          </w:tcPr>
          <w:p w14:paraId="479E2C95" w14:textId="77777777" w:rsidR="00161CC3" w:rsidRDefault="00000000">
            <w:pPr>
              <w:keepNext/>
              <w:keepLines/>
              <w:spacing w:after="0" w:line="240" w:lineRule="auto"/>
              <w:jc w:val="right"/>
            </w:pPr>
            <w:r>
              <w:rPr>
                <w:sz w:val="18"/>
              </w:rPr>
              <w:t>12.990.499,42</w:t>
            </w:r>
          </w:p>
        </w:tc>
        <w:tc>
          <w:tcPr>
            <w:tcW w:w="700" w:type="dxa"/>
            <w:tcMar>
              <w:top w:w="0" w:type="dxa"/>
              <w:bottom w:w="0" w:type="dxa"/>
            </w:tcMar>
            <w:vAlign w:val="center"/>
          </w:tcPr>
          <w:p w14:paraId="1A212B2B" w14:textId="77777777" w:rsidR="00161CC3" w:rsidRDefault="00000000">
            <w:pPr>
              <w:keepNext/>
              <w:keepLines/>
              <w:spacing w:after="0" w:line="240" w:lineRule="auto"/>
              <w:jc w:val="right"/>
            </w:pPr>
            <w:r>
              <w:rPr>
                <w:sz w:val="18"/>
              </w:rPr>
              <w:t>117,5</w:t>
            </w:r>
          </w:p>
        </w:tc>
      </w:tr>
      <w:tr w:rsidR="00161CC3" w14:paraId="7D58A607" w14:textId="77777777">
        <w:tblPrEx>
          <w:tblCellMar>
            <w:top w:w="0" w:type="dxa"/>
            <w:bottom w:w="0" w:type="dxa"/>
          </w:tblCellMar>
        </w:tblPrEx>
        <w:trPr>
          <w:cantSplit/>
          <w:trHeight w:val="560"/>
        </w:trPr>
        <w:tc>
          <w:tcPr>
            <w:tcW w:w="700" w:type="dxa"/>
            <w:tcMar>
              <w:top w:w="0" w:type="dxa"/>
              <w:bottom w:w="0" w:type="dxa"/>
            </w:tcMar>
            <w:vAlign w:val="center"/>
          </w:tcPr>
          <w:p w14:paraId="624936D7" w14:textId="77777777" w:rsidR="00161CC3" w:rsidRDefault="00161CC3">
            <w:pPr>
              <w:keepNext/>
              <w:keepLines/>
              <w:spacing w:after="0" w:line="240" w:lineRule="auto"/>
            </w:pPr>
          </w:p>
        </w:tc>
        <w:tc>
          <w:tcPr>
            <w:tcW w:w="3180" w:type="dxa"/>
            <w:tcMar>
              <w:top w:w="0" w:type="dxa"/>
              <w:bottom w:w="0" w:type="dxa"/>
            </w:tcMar>
            <w:vAlign w:val="center"/>
          </w:tcPr>
          <w:p w14:paraId="2DC9D0B1" w14:textId="77777777" w:rsidR="00161CC3"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3257D012" w14:textId="77777777" w:rsidR="00161CC3" w:rsidRDefault="00000000">
            <w:pPr>
              <w:keepNext/>
              <w:keepLines/>
              <w:spacing w:after="0" w:line="240" w:lineRule="auto"/>
            </w:pPr>
            <w:r>
              <w:rPr>
                <w:b/>
                <w:sz w:val="18"/>
              </w:rPr>
              <w:t>X001</w:t>
            </w:r>
          </w:p>
        </w:tc>
        <w:tc>
          <w:tcPr>
            <w:tcW w:w="1860" w:type="dxa"/>
            <w:tcMar>
              <w:top w:w="0" w:type="dxa"/>
              <w:bottom w:w="0" w:type="dxa"/>
            </w:tcMar>
            <w:vAlign w:val="center"/>
          </w:tcPr>
          <w:p w14:paraId="6DD61E19" w14:textId="77777777" w:rsidR="00161CC3" w:rsidRDefault="00000000">
            <w:pPr>
              <w:keepNext/>
              <w:keepLines/>
              <w:spacing w:after="0" w:line="240" w:lineRule="auto"/>
              <w:jc w:val="right"/>
            </w:pPr>
            <w:r>
              <w:rPr>
                <w:b/>
                <w:sz w:val="18"/>
              </w:rPr>
              <w:t>3.056.458,58</w:t>
            </w:r>
          </w:p>
        </w:tc>
        <w:tc>
          <w:tcPr>
            <w:tcW w:w="1860" w:type="dxa"/>
            <w:tcMar>
              <w:top w:w="0" w:type="dxa"/>
              <w:bottom w:w="0" w:type="dxa"/>
            </w:tcMar>
            <w:vAlign w:val="center"/>
          </w:tcPr>
          <w:p w14:paraId="4A4DA3EF" w14:textId="77777777" w:rsidR="00161CC3" w:rsidRDefault="00000000">
            <w:pPr>
              <w:keepNext/>
              <w:keepLines/>
              <w:spacing w:after="0" w:line="240" w:lineRule="auto"/>
              <w:jc w:val="right"/>
            </w:pPr>
            <w:r>
              <w:rPr>
                <w:b/>
                <w:sz w:val="18"/>
              </w:rPr>
              <w:t>1.986.219,37</w:t>
            </w:r>
          </w:p>
        </w:tc>
        <w:tc>
          <w:tcPr>
            <w:tcW w:w="700" w:type="dxa"/>
            <w:tcMar>
              <w:top w:w="0" w:type="dxa"/>
              <w:bottom w:w="0" w:type="dxa"/>
            </w:tcMar>
            <w:vAlign w:val="center"/>
          </w:tcPr>
          <w:p w14:paraId="1F96F599" w14:textId="77777777" w:rsidR="00161CC3" w:rsidRDefault="00000000">
            <w:pPr>
              <w:keepNext/>
              <w:keepLines/>
              <w:spacing w:after="0" w:line="240" w:lineRule="auto"/>
              <w:jc w:val="right"/>
            </w:pPr>
            <w:r>
              <w:rPr>
                <w:b/>
                <w:sz w:val="18"/>
              </w:rPr>
              <w:t>65,0</w:t>
            </w:r>
          </w:p>
        </w:tc>
      </w:tr>
      <w:tr w:rsidR="00161CC3" w14:paraId="2BA3935C" w14:textId="77777777">
        <w:tblPrEx>
          <w:tblCellMar>
            <w:top w:w="0" w:type="dxa"/>
            <w:bottom w:w="0" w:type="dxa"/>
          </w:tblCellMar>
        </w:tblPrEx>
        <w:trPr>
          <w:cantSplit/>
          <w:trHeight w:val="560"/>
        </w:trPr>
        <w:tc>
          <w:tcPr>
            <w:tcW w:w="700" w:type="dxa"/>
            <w:tcMar>
              <w:top w:w="0" w:type="dxa"/>
              <w:bottom w:w="0" w:type="dxa"/>
            </w:tcMar>
            <w:vAlign w:val="center"/>
          </w:tcPr>
          <w:p w14:paraId="4CE64444" w14:textId="77777777" w:rsidR="00161CC3" w:rsidRDefault="00000000">
            <w:pPr>
              <w:keepNext/>
              <w:keepLines/>
              <w:spacing w:after="0" w:line="240" w:lineRule="auto"/>
            </w:pPr>
            <w:r>
              <w:rPr>
                <w:sz w:val="18"/>
              </w:rPr>
              <w:t>7</w:t>
            </w:r>
          </w:p>
        </w:tc>
        <w:tc>
          <w:tcPr>
            <w:tcW w:w="3180" w:type="dxa"/>
            <w:tcMar>
              <w:top w:w="0" w:type="dxa"/>
              <w:bottom w:w="0" w:type="dxa"/>
            </w:tcMar>
            <w:vAlign w:val="center"/>
          </w:tcPr>
          <w:p w14:paraId="38D5C9EF" w14:textId="77777777" w:rsidR="00161CC3"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7CB09882" w14:textId="77777777" w:rsidR="00161CC3" w:rsidRDefault="00000000">
            <w:pPr>
              <w:keepNext/>
              <w:keepLines/>
              <w:spacing w:after="0" w:line="240" w:lineRule="auto"/>
            </w:pPr>
            <w:r>
              <w:rPr>
                <w:sz w:val="18"/>
              </w:rPr>
              <w:t>7</w:t>
            </w:r>
          </w:p>
        </w:tc>
        <w:tc>
          <w:tcPr>
            <w:tcW w:w="1860" w:type="dxa"/>
            <w:tcMar>
              <w:top w:w="0" w:type="dxa"/>
              <w:bottom w:w="0" w:type="dxa"/>
            </w:tcMar>
            <w:vAlign w:val="center"/>
          </w:tcPr>
          <w:p w14:paraId="1DD7A665" w14:textId="77777777" w:rsidR="00161CC3" w:rsidRDefault="00000000">
            <w:pPr>
              <w:keepNext/>
              <w:keepLines/>
              <w:spacing w:after="0" w:line="240" w:lineRule="auto"/>
              <w:jc w:val="right"/>
            </w:pPr>
            <w:r>
              <w:rPr>
                <w:sz w:val="18"/>
              </w:rPr>
              <w:t>82.575,29</w:t>
            </w:r>
          </w:p>
        </w:tc>
        <w:tc>
          <w:tcPr>
            <w:tcW w:w="1860" w:type="dxa"/>
            <w:tcMar>
              <w:top w:w="0" w:type="dxa"/>
              <w:bottom w:w="0" w:type="dxa"/>
            </w:tcMar>
            <w:vAlign w:val="center"/>
          </w:tcPr>
          <w:p w14:paraId="75172B35" w14:textId="77777777" w:rsidR="00161CC3" w:rsidRDefault="00000000">
            <w:pPr>
              <w:keepNext/>
              <w:keepLines/>
              <w:spacing w:after="0" w:line="240" w:lineRule="auto"/>
              <w:jc w:val="right"/>
            </w:pPr>
            <w:r>
              <w:rPr>
                <w:sz w:val="18"/>
              </w:rPr>
              <w:t>28.084,88</w:t>
            </w:r>
          </w:p>
        </w:tc>
        <w:tc>
          <w:tcPr>
            <w:tcW w:w="700" w:type="dxa"/>
            <w:tcMar>
              <w:top w:w="0" w:type="dxa"/>
              <w:bottom w:w="0" w:type="dxa"/>
            </w:tcMar>
            <w:vAlign w:val="center"/>
          </w:tcPr>
          <w:p w14:paraId="14E18B24" w14:textId="77777777" w:rsidR="00161CC3" w:rsidRDefault="00000000">
            <w:pPr>
              <w:keepNext/>
              <w:keepLines/>
              <w:spacing w:after="0" w:line="240" w:lineRule="auto"/>
              <w:jc w:val="right"/>
            </w:pPr>
            <w:r>
              <w:rPr>
                <w:sz w:val="18"/>
              </w:rPr>
              <w:t>34,0</w:t>
            </w:r>
          </w:p>
        </w:tc>
      </w:tr>
      <w:tr w:rsidR="00161CC3" w14:paraId="03B29A5D" w14:textId="77777777">
        <w:tblPrEx>
          <w:tblCellMar>
            <w:top w:w="0" w:type="dxa"/>
            <w:bottom w:w="0" w:type="dxa"/>
          </w:tblCellMar>
        </w:tblPrEx>
        <w:trPr>
          <w:cantSplit/>
          <w:trHeight w:val="560"/>
        </w:trPr>
        <w:tc>
          <w:tcPr>
            <w:tcW w:w="700" w:type="dxa"/>
            <w:tcMar>
              <w:top w:w="0" w:type="dxa"/>
              <w:bottom w:w="0" w:type="dxa"/>
            </w:tcMar>
            <w:vAlign w:val="center"/>
          </w:tcPr>
          <w:p w14:paraId="3D58FB80" w14:textId="77777777" w:rsidR="00161CC3" w:rsidRDefault="00000000">
            <w:pPr>
              <w:keepNext/>
              <w:keepLines/>
              <w:spacing w:after="0" w:line="240" w:lineRule="auto"/>
            </w:pPr>
            <w:r>
              <w:rPr>
                <w:sz w:val="18"/>
              </w:rPr>
              <w:t>4</w:t>
            </w:r>
          </w:p>
        </w:tc>
        <w:tc>
          <w:tcPr>
            <w:tcW w:w="3180" w:type="dxa"/>
            <w:tcMar>
              <w:top w:w="0" w:type="dxa"/>
              <w:bottom w:w="0" w:type="dxa"/>
            </w:tcMar>
            <w:vAlign w:val="center"/>
          </w:tcPr>
          <w:p w14:paraId="19B5377E" w14:textId="77777777" w:rsidR="00161CC3"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581E9604" w14:textId="77777777" w:rsidR="00161CC3" w:rsidRDefault="00000000">
            <w:pPr>
              <w:keepNext/>
              <w:keepLines/>
              <w:spacing w:after="0" w:line="240" w:lineRule="auto"/>
            </w:pPr>
            <w:r>
              <w:rPr>
                <w:sz w:val="18"/>
              </w:rPr>
              <w:t>4</w:t>
            </w:r>
          </w:p>
        </w:tc>
        <w:tc>
          <w:tcPr>
            <w:tcW w:w="1860" w:type="dxa"/>
            <w:tcMar>
              <w:top w:w="0" w:type="dxa"/>
              <w:bottom w:w="0" w:type="dxa"/>
            </w:tcMar>
            <w:vAlign w:val="center"/>
          </w:tcPr>
          <w:p w14:paraId="286E0EF7" w14:textId="77777777" w:rsidR="00161CC3" w:rsidRDefault="00000000">
            <w:pPr>
              <w:keepNext/>
              <w:keepLines/>
              <w:spacing w:after="0" w:line="240" w:lineRule="auto"/>
              <w:jc w:val="right"/>
            </w:pPr>
            <w:r>
              <w:rPr>
                <w:sz w:val="18"/>
              </w:rPr>
              <w:t>2.287.293,96</w:t>
            </w:r>
          </w:p>
        </w:tc>
        <w:tc>
          <w:tcPr>
            <w:tcW w:w="1860" w:type="dxa"/>
            <w:tcMar>
              <w:top w:w="0" w:type="dxa"/>
              <w:bottom w:w="0" w:type="dxa"/>
            </w:tcMar>
            <w:vAlign w:val="center"/>
          </w:tcPr>
          <w:p w14:paraId="2140E8B5" w14:textId="77777777" w:rsidR="00161CC3" w:rsidRDefault="00000000">
            <w:pPr>
              <w:keepNext/>
              <w:keepLines/>
              <w:spacing w:after="0" w:line="240" w:lineRule="auto"/>
              <w:jc w:val="right"/>
            </w:pPr>
            <w:r>
              <w:rPr>
                <w:sz w:val="18"/>
              </w:rPr>
              <w:t>2.837.535,40</w:t>
            </w:r>
          </w:p>
        </w:tc>
        <w:tc>
          <w:tcPr>
            <w:tcW w:w="700" w:type="dxa"/>
            <w:tcMar>
              <w:top w:w="0" w:type="dxa"/>
              <w:bottom w:w="0" w:type="dxa"/>
            </w:tcMar>
            <w:vAlign w:val="center"/>
          </w:tcPr>
          <w:p w14:paraId="522C2C76" w14:textId="77777777" w:rsidR="00161CC3" w:rsidRDefault="00000000">
            <w:pPr>
              <w:keepNext/>
              <w:keepLines/>
              <w:spacing w:after="0" w:line="240" w:lineRule="auto"/>
              <w:jc w:val="right"/>
            </w:pPr>
            <w:r>
              <w:rPr>
                <w:sz w:val="18"/>
              </w:rPr>
              <w:t>124,1</w:t>
            </w:r>
          </w:p>
        </w:tc>
      </w:tr>
      <w:tr w:rsidR="00161CC3" w14:paraId="3C89A48D" w14:textId="77777777">
        <w:tblPrEx>
          <w:tblCellMar>
            <w:top w:w="0" w:type="dxa"/>
            <w:bottom w:w="0" w:type="dxa"/>
          </w:tblCellMar>
        </w:tblPrEx>
        <w:trPr>
          <w:cantSplit/>
          <w:trHeight w:val="560"/>
        </w:trPr>
        <w:tc>
          <w:tcPr>
            <w:tcW w:w="700" w:type="dxa"/>
            <w:tcMar>
              <w:top w:w="0" w:type="dxa"/>
              <w:bottom w:w="0" w:type="dxa"/>
            </w:tcMar>
            <w:vAlign w:val="center"/>
          </w:tcPr>
          <w:p w14:paraId="75D8A00C" w14:textId="77777777" w:rsidR="00161CC3" w:rsidRDefault="00161CC3">
            <w:pPr>
              <w:keepNext/>
              <w:keepLines/>
              <w:spacing w:after="0" w:line="240" w:lineRule="auto"/>
            </w:pPr>
          </w:p>
        </w:tc>
        <w:tc>
          <w:tcPr>
            <w:tcW w:w="3180" w:type="dxa"/>
            <w:tcMar>
              <w:top w:w="0" w:type="dxa"/>
              <w:bottom w:w="0" w:type="dxa"/>
            </w:tcMar>
            <w:vAlign w:val="center"/>
          </w:tcPr>
          <w:p w14:paraId="1280EA64" w14:textId="77777777" w:rsidR="00161CC3"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76ACC5E2" w14:textId="77777777" w:rsidR="00161CC3" w:rsidRDefault="00000000">
            <w:pPr>
              <w:keepNext/>
              <w:keepLines/>
              <w:spacing w:after="0" w:line="240" w:lineRule="auto"/>
            </w:pPr>
            <w:r>
              <w:rPr>
                <w:b/>
                <w:sz w:val="18"/>
              </w:rPr>
              <w:t>Y002</w:t>
            </w:r>
          </w:p>
        </w:tc>
        <w:tc>
          <w:tcPr>
            <w:tcW w:w="1860" w:type="dxa"/>
            <w:tcMar>
              <w:top w:w="0" w:type="dxa"/>
              <w:bottom w:w="0" w:type="dxa"/>
            </w:tcMar>
            <w:vAlign w:val="center"/>
          </w:tcPr>
          <w:p w14:paraId="5D305AD9" w14:textId="77777777" w:rsidR="00161CC3" w:rsidRDefault="00000000">
            <w:pPr>
              <w:keepNext/>
              <w:keepLines/>
              <w:spacing w:after="0" w:line="240" w:lineRule="auto"/>
              <w:jc w:val="right"/>
            </w:pPr>
            <w:r>
              <w:rPr>
                <w:b/>
                <w:sz w:val="18"/>
              </w:rPr>
              <w:t>2.204.718,67</w:t>
            </w:r>
          </w:p>
        </w:tc>
        <w:tc>
          <w:tcPr>
            <w:tcW w:w="1860" w:type="dxa"/>
            <w:tcMar>
              <w:top w:w="0" w:type="dxa"/>
              <w:bottom w:w="0" w:type="dxa"/>
            </w:tcMar>
            <w:vAlign w:val="center"/>
          </w:tcPr>
          <w:p w14:paraId="231A1877" w14:textId="77777777" w:rsidR="00161CC3" w:rsidRDefault="00000000">
            <w:pPr>
              <w:keepNext/>
              <w:keepLines/>
              <w:spacing w:after="0" w:line="240" w:lineRule="auto"/>
              <w:jc w:val="right"/>
            </w:pPr>
            <w:r>
              <w:rPr>
                <w:b/>
                <w:sz w:val="18"/>
              </w:rPr>
              <w:t>2.809.450,52</w:t>
            </w:r>
          </w:p>
        </w:tc>
        <w:tc>
          <w:tcPr>
            <w:tcW w:w="700" w:type="dxa"/>
            <w:tcMar>
              <w:top w:w="0" w:type="dxa"/>
              <w:bottom w:w="0" w:type="dxa"/>
            </w:tcMar>
            <w:vAlign w:val="center"/>
          </w:tcPr>
          <w:p w14:paraId="3B295AB5" w14:textId="77777777" w:rsidR="00161CC3" w:rsidRDefault="00000000">
            <w:pPr>
              <w:keepNext/>
              <w:keepLines/>
              <w:spacing w:after="0" w:line="240" w:lineRule="auto"/>
              <w:jc w:val="right"/>
            </w:pPr>
            <w:r>
              <w:rPr>
                <w:b/>
                <w:sz w:val="18"/>
              </w:rPr>
              <w:t>127,4</w:t>
            </w:r>
          </w:p>
        </w:tc>
      </w:tr>
      <w:tr w:rsidR="00161CC3" w14:paraId="1FDEB20A" w14:textId="77777777">
        <w:tblPrEx>
          <w:tblCellMar>
            <w:top w:w="0" w:type="dxa"/>
            <w:bottom w:w="0" w:type="dxa"/>
          </w:tblCellMar>
        </w:tblPrEx>
        <w:trPr>
          <w:cantSplit/>
          <w:trHeight w:val="560"/>
        </w:trPr>
        <w:tc>
          <w:tcPr>
            <w:tcW w:w="700" w:type="dxa"/>
            <w:tcMar>
              <w:top w:w="0" w:type="dxa"/>
              <w:bottom w:w="0" w:type="dxa"/>
            </w:tcMar>
            <w:vAlign w:val="center"/>
          </w:tcPr>
          <w:p w14:paraId="077A840D" w14:textId="77777777" w:rsidR="00161CC3" w:rsidRDefault="00000000">
            <w:pPr>
              <w:keepNext/>
              <w:keepLines/>
              <w:spacing w:after="0" w:line="240" w:lineRule="auto"/>
            </w:pPr>
            <w:r>
              <w:rPr>
                <w:sz w:val="18"/>
              </w:rPr>
              <w:t>8</w:t>
            </w:r>
          </w:p>
        </w:tc>
        <w:tc>
          <w:tcPr>
            <w:tcW w:w="3180" w:type="dxa"/>
            <w:tcMar>
              <w:top w:w="0" w:type="dxa"/>
              <w:bottom w:w="0" w:type="dxa"/>
            </w:tcMar>
            <w:vAlign w:val="center"/>
          </w:tcPr>
          <w:p w14:paraId="02289D80" w14:textId="77777777" w:rsidR="00161CC3"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6B2EE282" w14:textId="77777777" w:rsidR="00161CC3" w:rsidRDefault="00000000">
            <w:pPr>
              <w:keepNext/>
              <w:keepLines/>
              <w:spacing w:after="0" w:line="240" w:lineRule="auto"/>
            </w:pPr>
            <w:r>
              <w:rPr>
                <w:sz w:val="18"/>
              </w:rPr>
              <w:t>8</w:t>
            </w:r>
          </w:p>
        </w:tc>
        <w:tc>
          <w:tcPr>
            <w:tcW w:w="1860" w:type="dxa"/>
            <w:tcMar>
              <w:top w:w="0" w:type="dxa"/>
              <w:bottom w:w="0" w:type="dxa"/>
            </w:tcMar>
            <w:vAlign w:val="center"/>
          </w:tcPr>
          <w:p w14:paraId="00B4791D" w14:textId="77777777" w:rsidR="00161CC3" w:rsidRDefault="00000000">
            <w:pPr>
              <w:keepNext/>
              <w:keepLines/>
              <w:spacing w:after="0" w:line="240" w:lineRule="auto"/>
              <w:jc w:val="right"/>
            </w:pPr>
            <w:r>
              <w:rPr>
                <w:sz w:val="18"/>
              </w:rPr>
              <w:t>0,00</w:t>
            </w:r>
          </w:p>
        </w:tc>
        <w:tc>
          <w:tcPr>
            <w:tcW w:w="1860" w:type="dxa"/>
            <w:tcMar>
              <w:top w:w="0" w:type="dxa"/>
              <w:bottom w:w="0" w:type="dxa"/>
            </w:tcMar>
            <w:vAlign w:val="center"/>
          </w:tcPr>
          <w:p w14:paraId="2696F686" w14:textId="77777777" w:rsidR="00161CC3" w:rsidRDefault="00000000">
            <w:pPr>
              <w:keepNext/>
              <w:keepLines/>
              <w:spacing w:after="0" w:line="240" w:lineRule="auto"/>
              <w:jc w:val="right"/>
            </w:pPr>
            <w:r>
              <w:rPr>
                <w:sz w:val="18"/>
              </w:rPr>
              <w:t>1.710.000,00</w:t>
            </w:r>
          </w:p>
        </w:tc>
        <w:tc>
          <w:tcPr>
            <w:tcW w:w="700" w:type="dxa"/>
            <w:tcMar>
              <w:top w:w="0" w:type="dxa"/>
              <w:bottom w:w="0" w:type="dxa"/>
            </w:tcMar>
            <w:vAlign w:val="center"/>
          </w:tcPr>
          <w:p w14:paraId="087C33DF" w14:textId="77777777" w:rsidR="00161CC3" w:rsidRDefault="00000000">
            <w:pPr>
              <w:keepNext/>
              <w:keepLines/>
              <w:spacing w:after="0" w:line="240" w:lineRule="auto"/>
              <w:jc w:val="right"/>
            </w:pPr>
            <w:r>
              <w:rPr>
                <w:sz w:val="18"/>
              </w:rPr>
              <w:t>-</w:t>
            </w:r>
          </w:p>
        </w:tc>
      </w:tr>
      <w:tr w:rsidR="00161CC3" w14:paraId="4FD763F7" w14:textId="77777777">
        <w:tblPrEx>
          <w:tblCellMar>
            <w:top w:w="0" w:type="dxa"/>
            <w:bottom w:w="0" w:type="dxa"/>
          </w:tblCellMar>
        </w:tblPrEx>
        <w:trPr>
          <w:cantSplit/>
          <w:trHeight w:val="560"/>
        </w:trPr>
        <w:tc>
          <w:tcPr>
            <w:tcW w:w="700" w:type="dxa"/>
            <w:tcMar>
              <w:top w:w="0" w:type="dxa"/>
              <w:bottom w:w="0" w:type="dxa"/>
            </w:tcMar>
            <w:vAlign w:val="center"/>
          </w:tcPr>
          <w:p w14:paraId="3D60F86C" w14:textId="77777777" w:rsidR="00161CC3" w:rsidRDefault="00000000">
            <w:pPr>
              <w:keepNext/>
              <w:keepLines/>
              <w:spacing w:after="0" w:line="240" w:lineRule="auto"/>
            </w:pPr>
            <w:r>
              <w:rPr>
                <w:sz w:val="18"/>
              </w:rPr>
              <w:t>5</w:t>
            </w:r>
          </w:p>
        </w:tc>
        <w:tc>
          <w:tcPr>
            <w:tcW w:w="3180" w:type="dxa"/>
            <w:tcMar>
              <w:top w:w="0" w:type="dxa"/>
              <w:bottom w:w="0" w:type="dxa"/>
            </w:tcMar>
            <w:vAlign w:val="center"/>
          </w:tcPr>
          <w:p w14:paraId="4C270DB4" w14:textId="77777777" w:rsidR="00161CC3"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1145990C" w14:textId="77777777" w:rsidR="00161CC3" w:rsidRDefault="00000000">
            <w:pPr>
              <w:keepNext/>
              <w:keepLines/>
              <w:spacing w:after="0" w:line="240" w:lineRule="auto"/>
            </w:pPr>
            <w:r>
              <w:rPr>
                <w:sz w:val="18"/>
              </w:rPr>
              <w:t>5</w:t>
            </w:r>
          </w:p>
        </w:tc>
        <w:tc>
          <w:tcPr>
            <w:tcW w:w="1860" w:type="dxa"/>
            <w:tcMar>
              <w:top w:w="0" w:type="dxa"/>
              <w:bottom w:w="0" w:type="dxa"/>
            </w:tcMar>
            <w:vAlign w:val="center"/>
          </w:tcPr>
          <w:p w14:paraId="360D0EFE" w14:textId="77777777" w:rsidR="00161CC3" w:rsidRDefault="00000000">
            <w:pPr>
              <w:keepNext/>
              <w:keepLines/>
              <w:spacing w:after="0" w:line="240" w:lineRule="auto"/>
              <w:jc w:val="right"/>
            </w:pPr>
            <w:r>
              <w:rPr>
                <w:sz w:val="18"/>
              </w:rPr>
              <w:t>666.942,12</w:t>
            </w:r>
          </w:p>
        </w:tc>
        <w:tc>
          <w:tcPr>
            <w:tcW w:w="1860" w:type="dxa"/>
            <w:tcMar>
              <w:top w:w="0" w:type="dxa"/>
              <w:bottom w:w="0" w:type="dxa"/>
            </w:tcMar>
            <w:vAlign w:val="center"/>
          </w:tcPr>
          <w:p w14:paraId="2E04F181" w14:textId="77777777" w:rsidR="00161CC3" w:rsidRDefault="00000000">
            <w:pPr>
              <w:keepNext/>
              <w:keepLines/>
              <w:spacing w:after="0" w:line="240" w:lineRule="auto"/>
              <w:jc w:val="right"/>
            </w:pPr>
            <w:r>
              <w:rPr>
                <w:sz w:val="18"/>
              </w:rPr>
              <w:t>816.942,12</w:t>
            </w:r>
          </w:p>
        </w:tc>
        <w:tc>
          <w:tcPr>
            <w:tcW w:w="700" w:type="dxa"/>
            <w:tcMar>
              <w:top w:w="0" w:type="dxa"/>
              <w:bottom w:w="0" w:type="dxa"/>
            </w:tcMar>
            <w:vAlign w:val="center"/>
          </w:tcPr>
          <w:p w14:paraId="0EB1A36E" w14:textId="77777777" w:rsidR="00161CC3" w:rsidRDefault="00000000">
            <w:pPr>
              <w:keepNext/>
              <w:keepLines/>
              <w:spacing w:after="0" w:line="240" w:lineRule="auto"/>
              <w:jc w:val="right"/>
            </w:pPr>
            <w:r>
              <w:rPr>
                <w:sz w:val="18"/>
              </w:rPr>
              <w:t>122,5</w:t>
            </w:r>
          </w:p>
        </w:tc>
      </w:tr>
      <w:tr w:rsidR="00161CC3" w14:paraId="4BC59439" w14:textId="77777777">
        <w:tblPrEx>
          <w:tblCellMar>
            <w:top w:w="0" w:type="dxa"/>
            <w:bottom w:w="0" w:type="dxa"/>
          </w:tblCellMar>
        </w:tblPrEx>
        <w:trPr>
          <w:cantSplit/>
          <w:trHeight w:val="560"/>
        </w:trPr>
        <w:tc>
          <w:tcPr>
            <w:tcW w:w="700" w:type="dxa"/>
            <w:tcMar>
              <w:top w:w="0" w:type="dxa"/>
              <w:bottom w:w="0" w:type="dxa"/>
            </w:tcMar>
            <w:vAlign w:val="center"/>
          </w:tcPr>
          <w:p w14:paraId="1522CCA1" w14:textId="77777777" w:rsidR="00161CC3" w:rsidRDefault="00161CC3">
            <w:pPr>
              <w:keepNext/>
              <w:keepLines/>
              <w:spacing w:after="0" w:line="240" w:lineRule="auto"/>
            </w:pPr>
          </w:p>
        </w:tc>
        <w:tc>
          <w:tcPr>
            <w:tcW w:w="3180" w:type="dxa"/>
            <w:tcMar>
              <w:top w:w="0" w:type="dxa"/>
              <w:bottom w:w="0" w:type="dxa"/>
            </w:tcMar>
            <w:vAlign w:val="center"/>
          </w:tcPr>
          <w:p w14:paraId="7311046B" w14:textId="77777777" w:rsidR="00161CC3" w:rsidRDefault="00000000">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14:paraId="6EE36518" w14:textId="77777777" w:rsidR="00161CC3" w:rsidRDefault="00000000">
            <w:pPr>
              <w:keepNext/>
              <w:keepLines/>
              <w:spacing w:after="0" w:line="240" w:lineRule="auto"/>
            </w:pPr>
            <w:r>
              <w:rPr>
                <w:b/>
                <w:sz w:val="18"/>
              </w:rPr>
              <w:t>X003</w:t>
            </w:r>
          </w:p>
        </w:tc>
        <w:tc>
          <w:tcPr>
            <w:tcW w:w="1860" w:type="dxa"/>
            <w:tcMar>
              <w:top w:w="0" w:type="dxa"/>
              <w:bottom w:w="0" w:type="dxa"/>
            </w:tcMar>
            <w:vAlign w:val="center"/>
          </w:tcPr>
          <w:p w14:paraId="24AA3D09" w14:textId="77777777" w:rsidR="00161CC3" w:rsidRDefault="00000000">
            <w:pPr>
              <w:keepNext/>
              <w:keepLines/>
              <w:spacing w:after="0" w:line="240" w:lineRule="auto"/>
              <w:jc w:val="right"/>
            </w:pPr>
            <w:r>
              <w:rPr>
                <w:b/>
                <w:sz w:val="18"/>
              </w:rPr>
              <w:t>0,00</w:t>
            </w:r>
          </w:p>
        </w:tc>
        <w:tc>
          <w:tcPr>
            <w:tcW w:w="1860" w:type="dxa"/>
            <w:tcMar>
              <w:top w:w="0" w:type="dxa"/>
              <w:bottom w:w="0" w:type="dxa"/>
            </w:tcMar>
            <w:vAlign w:val="center"/>
          </w:tcPr>
          <w:p w14:paraId="31F44ABA" w14:textId="77777777" w:rsidR="00161CC3" w:rsidRDefault="00000000">
            <w:pPr>
              <w:keepNext/>
              <w:keepLines/>
              <w:spacing w:after="0" w:line="240" w:lineRule="auto"/>
              <w:jc w:val="right"/>
            </w:pPr>
            <w:r>
              <w:rPr>
                <w:b/>
                <w:sz w:val="18"/>
              </w:rPr>
              <w:t>893.057,88</w:t>
            </w:r>
          </w:p>
        </w:tc>
        <w:tc>
          <w:tcPr>
            <w:tcW w:w="700" w:type="dxa"/>
            <w:tcMar>
              <w:top w:w="0" w:type="dxa"/>
              <w:bottom w:w="0" w:type="dxa"/>
            </w:tcMar>
            <w:vAlign w:val="center"/>
          </w:tcPr>
          <w:p w14:paraId="03E38DDA" w14:textId="77777777" w:rsidR="00161CC3" w:rsidRDefault="00000000">
            <w:pPr>
              <w:keepNext/>
              <w:keepLines/>
              <w:spacing w:after="0" w:line="240" w:lineRule="auto"/>
              <w:jc w:val="right"/>
            </w:pPr>
            <w:r>
              <w:rPr>
                <w:b/>
                <w:sz w:val="18"/>
              </w:rPr>
              <w:t>-</w:t>
            </w:r>
          </w:p>
        </w:tc>
      </w:tr>
      <w:tr w:rsidR="00161CC3" w14:paraId="76C3776B" w14:textId="77777777">
        <w:tblPrEx>
          <w:tblCellMar>
            <w:top w:w="0" w:type="dxa"/>
            <w:bottom w:w="0" w:type="dxa"/>
          </w:tblCellMar>
        </w:tblPrEx>
        <w:trPr>
          <w:cantSplit/>
          <w:trHeight w:val="560"/>
        </w:trPr>
        <w:tc>
          <w:tcPr>
            <w:tcW w:w="700" w:type="dxa"/>
            <w:tcMar>
              <w:top w:w="0" w:type="dxa"/>
              <w:bottom w:w="0" w:type="dxa"/>
            </w:tcMar>
            <w:vAlign w:val="center"/>
          </w:tcPr>
          <w:p w14:paraId="75D4391A" w14:textId="77777777" w:rsidR="00161CC3" w:rsidRDefault="00161CC3">
            <w:pPr>
              <w:keepNext/>
              <w:keepLines/>
              <w:spacing w:after="0" w:line="240" w:lineRule="auto"/>
            </w:pPr>
          </w:p>
        </w:tc>
        <w:tc>
          <w:tcPr>
            <w:tcW w:w="3180" w:type="dxa"/>
            <w:tcMar>
              <w:top w:w="0" w:type="dxa"/>
              <w:bottom w:w="0" w:type="dxa"/>
            </w:tcMar>
            <w:vAlign w:val="center"/>
          </w:tcPr>
          <w:p w14:paraId="699F97F3" w14:textId="77777777" w:rsidR="00161CC3"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2A9528B5" w14:textId="77777777" w:rsidR="00161CC3" w:rsidRDefault="00000000">
            <w:pPr>
              <w:keepNext/>
              <w:keepLines/>
              <w:spacing w:after="0" w:line="240" w:lineRule="auto"/>
            </w:pPr>
            <w:r>
              <w:rPr>
                <w:b/>
                <w:sz w:val="18"/>
              </w:rPr>
              <w:t>X005</w:t>
            </w:r>
          </w:p>
        </w:tc>
        <w:tc>
          <w:tcPr>
            <w:tcW w:w="1860" w:type="dxa"/>
            <w:tcMar>
              <w:top w:w="0" w:type="dxa"/>
              <w:bottom w:w="0" w:type="dxa"/>
            </w:tcMar>
            <w:vAlign w:val="center"/>
          </w:tcPr>
          <w:p w14:paraId="37478304" w14:textId="77777777" w:rsidR="00161CC3" w:rsidRDefault="00000000">
            <w:pPr>
              <w:keepNext/>
              <w:keepLines/>
              <w:spacing w:after="0" w:line="240" w:lineRule="auto"/>
              <w:jc w:val="right"/>
            </w:pPr>
            <w:r>
              <w:rPr>
                <w:b/>
                <w:sz w:val="18"/>
              </w:rPr>
              <w:t>184.797,79</w:t>
            </w:r>
          </w:p>
        </w:tc>
        <w:tc>
          <w:tcPr>
            <w:tcW w:w="1860" w:type="dxa"/>
            <w:tcMar>
              <w:top w:w="0" w:type="dxa"/>
              <w:bottom w:w="0" w:type="dxa"/>
            </w:tcMar>
            <w:vAlign w:val="center"/>
          </w:tcPr>
          <w:p w14:paraId="4D7A136F" w14:textId="77777777" w:rsidR="00161CC3" w:rsidRDefault="00000000">
            <w:pPr>
              <w:keepNext/>
              <w:keepLines/>
              <w:spacing w:after="0" w:line="240" w:lineRule="auto"/>
              <w:jc w:val="right"/>
            </w:pPr>
            <w:r>
              <w:rPr>
                <w:b/>
                <w:sz w:val="18"/>
              </w:rPr>
              <w:t>69.826,73</w:t>
            </w:r>
          </w:p>
        </w:tc>
        <w:tc>
          <w:tcPr>
            <w:tcW w:w="700" w:type="dxa"/>
            <w:tcMar>
              <w:top w:w="0" w:type="dxa"/>
              <w:bottom w:w="0" w:type="dxa"/>
            </w:tcMar>
            <w:vAlign w:val="center"/>
          </w:tcPr>
          <w:p w14:paraId="5F486123" w14:textId="77777777" w:rsidR="00161CC3" w:rsidRDefault="00000000">
            <w:pPr>
              <w:keepNext/>
              <w:keepLines/>
              <w:spacing w:after="0" w:line="240" w:lineRule="auto"/>
              <w:jc w:val="right"/>
            </w:pPr>
            <w:r>
              <w:rPr>
                <w:b/>
                <w:sz w:val="18"/>
              </w:rPr>
              <w:t>37,8</w:t>
            </w:r>
          </w:p>
        </w:tc>
      </w:tr>
    </w:tbl>
    <w:p w14:paraId="43C93FCD" w14:textId="77777777" w:rsidR="00161CC3" w:rsidRDefault="00161CC3">
      <w:pPr>
        <w:spacing w:after="0"/>
      </w:pPr>
    </w:p>
    <w:p w14:paraId="1AA18619" w14:textId="77777777" w:rsidR="00161CC3" w:rsidRDefault="00000000">
      <w:r>
        <w:t>Višak prihoda i primitaka ostvaren je u iznosu od 69.826,73 EUR, a sastoji se od </w:t>
      </w:r>
    </w:p>
    <w:p w14:paraId="41A232C4" w14:textId="77777777" w:rsidR="00161CC3" w:rsidRDefault="00000000">
      <w:r>
        <w:t>-          Viška prihoda poslovanja u iznosu od 1.986.219,37 EUR, </w:t>
      </w:r>
    </w:p>
    <w:p w14:paraId="06826033" w14:textId="77777777" w:rsidR="00161CC3" w:rsidRDefault="00000000">
      <w:r>
        <w:t>-          Manjka prihoda od nefinancijske imovine u iznosu od 2.809.450,52 EUR i </w:t>
      </w:r>
    </w:p>
    <w:p w14:paraId="52B13395" w14:textId="77777777" w:rsidR="00161CC3" w:rsidRDefault="00000000">
      <w:r>
        <w:t>-          Viška primitaka od financijske imovine i zaduživanja u iznosu od 893.057,88 EUR. </w:t>
      </w:r>
    </w:p>
    <w:p w14:paraId="7314B7AA" w14:textId="77777777" w:rsidR="00161CC3" w:rsidRDefault="00000000">
      <w:r>
        <w:lastRenderedPageBreak/>
        <w:t>Višak prihoda i primitaka - preneseni iznosi 795.756,36 EUR i sastoji se od:</w:t>
      </w:r>
    </w:p>
    <w:p w14:paraId="7CD6DB1B" w14:textId="77777777" w:rsidR="00161CC3" w:rsidRDefault="00000000">
      <w:r>
        <w:t>-          Viška prihoda poslovanja 922110  854.048,91 EUR</w:t>
      </w:r>
    </w:p>
    <w:p w14:paraId="59A09FCE" w14:textId="77777777" w:rsidR="00161CC3" w:rsidRDefault="00000000">
      <w:r>
        <w:t>-          Manjka prihoda od nefinancijske imovine 922220  58.292,55 EUR</w:t>
      </w:r>
    </w:p>
    <w:p w14:paraId="021F8B90" w14:textId="77777777" w:rsidR="00161CC3" w:rsidRDefault="00000000">
      <w:r>
        <w:t>Višak prihoda i primitaka raspoloživ u sljedećem razdoblju iznosi 865.583,09 EUR i zbroj je prenesenog viška u iznosu od 795.756,36 EUR te ostvarenog viška za izvještajno razdoblje 2025. godine u iznosu od 69.826,73 EUR.</w:t>
      </w:r>
    </w:p>
    <w:p w14:paraId="0F39D21B" w14:textId="77777777" w:rsidR="00161CC3" w:rsidRDefault="00000000">
      <w:r>
        <w:t> </w:t>
      </w:r>
    </w:p>
    <w:p w14:paraId="383E1188" w14:textId="77777777" w:rsidR="00161CC3" w:rsidRDefault="00000000">
      <w:r>
        <w:br/>
      </w:r>
    </w:p>
    <w:p w14:paraId="40334FF8" w14:textId="77777777" w:rsidR="00161CC3"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2042BA6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8FB477"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30AE4C4"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F6FB22"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0D2F93"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E70DB8"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061439" w14:textId="77777777" w:rsidR="00161CC3" w:rsidRDefault="00000000">
            <w:pPr>
              <w:keepNext/>
              <w:keepLines/>
              <w:spacing w:after="0" w:line="240" w:lineRule="auto"/>
              <w:jc w:val="center"/>
            </w:pPr>
            <w:r>
              <w:rPr>
                <w:b/>
                <w:sz w:val="18"/>
              </w:rPr>
              <w:t>Indeks (%)</w:t>
            </w:r>
          </w:p>
        </w:tc>
      </w:tr>
      <w:tr w:rsidR="00161CC3" w14:paraId="0BFDF898" w14:textId="77777777">
        <w:tblPrEx>
          <w:tblCellMar>
            <w:top w:w="0" w:type="dxa"/>
            <w:bottom w:w="0" w:type="dxa"/>
          </w:tblCellMar>
        </w:tblPrEx>
        <w:trPr>
          <w:cantSplit/>
          <w:trHeight w:val="560"/>
        </w:trPr>
        <w:tc>
          <w:tcPr>
            <w:tcW w:w="700" w:type="dxa"/>
            <w:tcMar>
              <w:top w:w="0" w:type="dxa"/>
              <w:bottom w:w="0" w:type="dxa"/>
            </w:tcMar>
            <w:vAlign w:val="center"/>
          </w:tcPr>
          <w:p w14:paraId="3AF4F5C1" w14:textId="77777777" w:rsidR="00161CC3" w:rsidRDefault="00000000">
            <w:pPr>
              <w:keepNext/>
              <w:keepLines/>
              <w:spacing w:after="0" w:line="240" w:lineRule="auto"/>
            </w:pPr>
            <w:r>
              <w:rPr>
                <w:sz w:val="18"/>
              </w:rPr>
              <w:t>611</w:t>
            </w:r>
          </w:p>
        </w:tc>
        <w:tc>
          <w:tcPr>
            <w:tcW w:w="3180" w:type="dxa"/>
            <w:tcMar>
              <w:top w:w="0" w:type="dxa"/>
              <w:bottom w:w="0" w:type="dxa"/>
            </w:tcMar>
            <w:vAlign w:val="center"/>
          </w:tcPr>
          <w:p w14:paraId="6284B0C6" w14:textId="77777777" w:rsidR="00161CC3" w:rsidRDefault="00000000">
            <w:pPr>
              <w:keepNext/>
              <w:keepLines/>
              <w:spacing w:after="0" w:line="240" w:lineRule="auto"/>
            </w:pPr>
            <w:r>
              <w:rPr>
                <w:sz w:val="18"/>
              </w:rPr>
              <w:t>Porez na dohodak (šifre 6111 do 6116 - 6117 - 6119)</w:t>
            </w:r>
          </w:p>
        </w:tc>
        <w:tc>
          <w:tcPr>
            <w:tcW w:w="700" w:type="dxa"/>
            <w:tcMar>
              <w:top w:w="0" w:type="dxa"/>
              <w:bottom w:w="0" w:type="dxa"/>
            </w:tcMar>
            <w:vAlign w:val="center"/>
          </w:tcPr>
          <w:p w14:paraId="177E7699" w14:textId="77777777" w:rsidR="00161CC3" w:rsidRDefault="00000000">
            <w:pPr>
              <w:keepNext/>
              <w:keepLines/>
              <w:spacing w:after="0" w:line="240" w:lineRule="auto"/>
            </w:pPr>
            <w:r>
              <w:rPr>
                <w:sz w:val="18"/>
              </w:rPr>
              <w:t>611</w:t>
            </w:r>
          </w:p>
        </w:tc>
        <w:tc>
          <w:tcPr>
            <w:tcW w:w="1860" w:type="dxa"/>
            <w:tcMar>
              <w:top w:w="0" w:type="dxa"/>
              <w:bottom w:w="0" w:type="dxa"/>
            </w:tcMar>
            <w:vAlign w:val="center"/>
          </w:tcPr>
          <w:p w14:paraId="699876D0" w14:textId="77777777" w:rsidR="00161CC3" w:rsidRDefault="00000000">
            <w:pPr>
              <w:keepNext/>
              <w:keepLines/>
              <w:spacing w:after="0" w:line="240" w:lineRule="auto"/>
              <w:jc w:val="right"/>
            </w:pPr>
            <w:r>
              <w:rPr>
                <w:sz w:val="18"/>
              </w:rPr>
              <w:t>6.524.063,98</w:t>
            </w:r>
          </w:p>
        </w:tc>
        <w:tc>
          <w:tcPr>
            <w:tcW w:w="1860" w:type="dxa"/>
            <w:tcMar>
              <w:top w:w="0" w:type="dxa"/>
              <w:bottom w:w="0" w:type="dxa"/>
            </w:tcMar>
            <w:vAlign w:val="center"/>
          </w:tcPr>
          <w:p w14:paraId="19130259" w14:textId="77777777" w:rsidR="00161CC3" w:rsidRDefault="00000000">
            <w:pPr>
              <w:keepNext/>
              <w:keepLines/>
              <w:spacing w:after="0" w:line="240" w:lineRule="auto"/>
              <w:jc w:val="right"/>
            </w:pPr>
            <w:r>
              <w:rPr>
                <w:sz w:val="18"/>
              </w:rPr>
              <w:t>7.810.091,30</w:t>
            </w:r>
          </w:p>
        </w:tc>
        <w:tc>
          <w:tcPr>
            <w:tcW w:w="700" w:type="dxa"/>
            <w:tcMar>
              <w:top w:w="0" w:type="dxa"/>
              <w:bottom w:w="0" w:type="dxa"/>
            </w:tcMar>
            <w:vAlign w:val="center"/>
          </w:tcPr>
          <w:p w14:paraId="094DE2AF" w14:textId="77777777" w:rsidR="00161CC3" w:rsidRDefault="00000000">
            <w:pPr>
              <w:keepNext/>
              <w:keepLines/>
              <w:spacing w:after="0" w:line="240" w:lineRule="auto"/>
              <w:jc w:val="right"/>
            </w:pPr>
            <w:r>
              <w:rPr>
                <w:sz w:val="18"/>
              </w:rPr>
              <w:t>119,7</w:t>
            </w:r>
          </w:p>
        </w:tc>
      </w:tr>
    </w:tbl>
    <w:p w14:paraId="2936885B" w14:textId="77777777" w:rsidR="00161CC3" w:rsidRDefault="00161CC3">
      <w:pPr>
        <w:spacing w:after="0"/>
      </w:pPr>
    </w:p>
    <w:p w14:paraId="2C19DA2F" w14:textId="77777777" w:rsidR="00161CC3" w:rsidRDefault="00000000">
      <w:r>
        <w:t>U promatranom izvještajnom razdoblju 2025. godine povećan je prihod od poreza na dohodak i to za 19,7%. Do povećanja prihoda došlo je uglavnom uslijed inflacije i povećanja plaća. </w:t>
      </w:r>
    </w:p>
    <w:p w14:paraId="76D40FB8" w14:textId="77777777" w:rsidR="00161CC3" w:rsidRDefault="00000000">
      <w:r>
        <w:t>Najveći nominalni porast u odnosu na isto razdoblje prethodne godine zabilježen je kod prihoda od poreza na dohodak od nesamostalnog rada i to za 988.845,54 EUR ili 17,3% dok je najveći postotni porast primjetan kod poreza na dohodak od imovine i imovinskih prava i to za 118,1% ili 295.410,58 EUR. Do značajnijeg povećanja poreza na dohodak od imovine i imovinskih prava došlo je zbog povećanja visine paušalnog poreza po krevetu u sobama, apartmanima i kućama, po smještajnoj jedinici u kampu i/ili kamp-odmorištu te po smještajnoj jedinici u objektu za robinzonski paušala za iznajmljivače soba i apartmana, a sve sukladno Zakonu o izmjenama i dopunama Zakona o lokalnim porezima koji je stupio na snagu 01.01.2025. godine.</w:t>
      </w:r>
    </w:p>
    <w:p w14:paraId="406BED18" w14:textId="77777777" w:rsidR="00161CC3" w:rsidRDefault="00000000">
      <w:r>
        <w:t>Porez na dohodak od samostalnih djelatnosti povećan je za 15,5%, dok je porez na dohodak od kapitala povećan za 9,1%. U postotnom iznosu primjetan je značajniji rast prihoda od poreza na kamatu na štednju.</w:t>
      </w:r>
    </w:p>
    <w:p w14:paraId="07739740" w14:textId="77777777" w:rsidR="00161CC3" w:rsidRDefault="00000000">
      <w:proofErr w:type="spellStart"/>
      <w:r>
        <w:t>PRimjetno</w:t>
      </w:r>
      <w:proofErr w:type="spellEnd"/>
      <w:r>
        <w:t xml:space="preserve"> je značajno povećanje iznosa povrata poreza na dohodak po godišnjoj prijavi (118,7%), međutim u prethodnoj godini smo na isti konto knjižili i iznose poreza na dohodak po godišnjoj prijavi dok u ovoj godini porez na dohodak po godišnjoj prijavi iskazujemo na kontu 6115. Stoga ukoliko se od konta 6117 umanjimo iznos na kontu 6115 dobivamo iznos od -470.795,78 EUR što je povećanje za 32 %, a do navedenog povećanja dolazi ponajprije radi rasta plaća.</w:t>
      </w:r>
    </w:p>
    <w:p w14:paraId="787E2A71" w14:textId="77777777" w:rsidR="00161CC3" w:rsidRDefault="00000000">
      <w:r>
        <w:t> </w:t>
      </w:r>
    </w:p>
    <w:p w14:paraId="1B2F3A19" w14:textId="77777777" w:rsidR="00161CC3" w:rsidRDefault="00161CC3"/>
    <w:p w14:paraId="7DD48D19" w14:textId="77777777" w:rsidR="00161CC3" w:rsidRDefault="00000000">
      <w:pPr>
        <w:keepNext/>
        <w:spacing w:line="240" w:lineRule="auto"/>
        <w:jc w:val="center"/>
      </w:pPr>
      <w:r>
        <w:rPr>
          <w:sz w:val="28"/>
        </w:rPr>
        <w:lastRenderedPageBreak/>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5CC22F5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35E4E0"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49A5BB0"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BC4182"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29F883"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2F7CBB"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D0BBD2" w14:textId="77777777" w:rsidR="00161CC3" w:rsidRDefault="00000000">
            <w:pPr>
              <w:keepNext/>
              <w:keepLines/>
              <w:spacing w:after="0" w:line="240" w:lineRule="auto"/>
              <w:jc w:val="center"/>
            </w:pPr>
            <w:r>
              <w:rPr>
                <w:b/>
                <w:sz w:val="18"/>
              </w:rPr>
              <w:t>Indeks (%)</w:t>
            </w:r>
          </w:p>
        </w:tc>
      </w:tr>
      <w:tr w:rsidR="00161CC3" w14:paraId="43F59D56" w14:textId="77777777">
        <w:tblPrEx>
          <w:tblCellMar>
            <w:top w:w="0" w:type="dxa"/>
            <w:bottom w:w="0" w:type="dxa"/>
          </w:tblCellMar>
        </w:tblPrEx>
        <w:trPr>
          <w:cantSplit/>
          <w:trHeight w:val="560"/>
        </w:trPr>
        <w:tc>
          <w:tcPr>
            <w:tcW w:w="700" w:type="dxa"/>
            <w:tcMar>
              <w:top w:w="0" w:type="dxa"/>
              <w:bottom w:w="0" w:type="dxa"/>
            </w:tcMar>
            <w:vAlign w:val="center"/>
          </w:tcPr>
          <w:p w14:paraId="20A01F50" w14:textId="77777777" w:rsidR="00161CC3" w:rsidRDefault="00000000">
            <w:pPr>
              <w:keepNext/>
              <w:keepLines/>
              <w:spacing w:after="0" w:line="240" w:lineRule="auto"/>
            </w:pPr>
            <w:r>
              <w:rPr>
                <w:sz w:val="18"/>
              </w:rPr>
              <w:t>613</w:t>
            </w:r>
          </w:p>
        </w:tc>
        <w:tc>
          <w:tcPr>
            <w:tcW w:w="3180" w:type="dxa"/>
            <w:tcMar>
              <w:top w:w="0" w:type="dxa"/>
              <w:bottom w:w="0" w:type="dxa"/>
            </w:tcMar>
            <w:vAlign w:val="center"/>
          </w:tcPr>
          <w:p w14:paraId="39DE04B3" w14:textId="77777777" w:rsidR="00161CC3" w:rsidRDefault="00000000">
            <w:pPr>
              <w:keepNext/>
              <w:keepLines/>
              <w:spacing w:after="0" w:line="240" w:lineRule="auto"/>
            </w:pPr>
            <w:r>
              <w:rPr>
                <w:sz w:val="18"/>
              </w:rPr>
              <w:t>Porezi na imovinu (šifre 6131 do 6135)</w:t>
            </w:r>
          </w:p>
        </w:tc>
        <w:tc>
          <w:tcPr>
            <w:tcW w:w="700" w:type="dxa"/>
            <w:tcMar>
              <w:top w:w="0" w:type="dxa"/>
              <w:bottom w:w="0" w:type="dxa"/>
            </w:tcMar>
            <w:vAlign w:val="center"/>
          </w:tcPr>
          <w:p w14:paraId="15670931" w14:textId="77777777" w:rsidR="00161CC3" w:rsidRDefault="00000000">
            <w:pPr>
              <w:keepNext/>
              <w:keepLines/>
              <w:spacing w:after="0" w:line="240" w:lineRule="auto"/>
            </w:pPr>
            <w:r>
              <w:rPr>
                <w:sz w:val="18"/>
              </w:rPr>
              <w:t>613</w:t>
            </w:r>
          </w:p>
        </w:tc>
        <w:tc>
          <w:tcPr>
            <w:tcW w:w="1860" w:type="dxa"/>
            <w:tcMar>
              <w:top w:w="0" w:type="dxa"/>
              <w:bottom w:w="0" w:type="dxa"/>
            </w:tcMar>
            <w:vAlign w:val="center"/>
          </w:tcPr>
          <w:p w14:paraId="2CD85F30" w14:textId="77777777" w:rsidR="00161CC3" w:rsidRDefault="00000000">
            <w:pPr>
              <w:keepNext/>
              <w:keepLines/>
              <w:spacing w:after="0" w:line="240" w:lineRule="auto"/>
              <w:jc w:val="right"/>
            </w:pPr>
            <w:r>
              <w:rPr>
                <w:sz w:val="18"/>
              </w:rPr>
              <w:t>1.166.442,19</w:t>
            </w:r>
          </w:p>
        </w:tc>
        <w:tc>
          <w:tcPr>
            <w:tcW w:w="1860" w:type="dxa"/>
            <w:tcMar>
              <w:top w:w="0" w:type="dxa"/>
              <w:bottom w:w="0" w:type="dxa"/>
            </w:tcMar>
            <w:vAlign w:val="center"/>
          </w:tcPr>
          <w:p w14:paraId="03C88BBC" w14:textId="77777777" w:rsidR="00161CC3" w:rsidRDefault="00000000">
            <w:pPr>
              <w:keepNext/>
              <w:keepLines/>
              <w:spacing w:after="0" w:line="240" w:lineRule="auto"/>
              <w:jc w:val="right"/>
            </w:pPr>
            <w:r>
              <w:rPr>
                <w:sz w:val="18"/>
              </w:rPr>
              <w:t>1.187.283,09</w:t>
            </w:r>
          </w:p>
        </w:tc>
        <w:tc>
          <w:tcPr>
            <w:tcW w:w="700" w:type="dxa"/>
            <w:tcMar>
              <w:top w:w="0" w:type="dxa"/>
              <w:bottom w:w="0" w:type="dxa"/>
            </w:tcMar>
            <w:vAlign w:val="center"/>
          </w:tcPr>
          <w:p w14:paraId="3FA54FDD" w14:textId="77777777" w:rsidR="00161CC3" w:rsidRDefault="00000000">
            <w:pPr>
              <w:keepNext/>
              <w:keepLines/>
              <w:spacing w:after="0" w:line="240" w:lineRule="auto"/>
              <w:jc w:val="right"/>
            </w:pPr>
            <w:r>
              <w:rPr>
                <w:sz w:val="18"/>
              </w:rPr>
              <w:t>101,8</w:t>
            </w:r>
          </w:p>
        </w:tc>
      </w:tr>
    </w:tbl>
    <w:p w14:paraId="40A1D418" w14:textId="77777777" w:rsidR="00161CC3" w:rsidRDefault="00161CC3">
      <w:pPr>
        <w:spacing w:after="0"/>
      </w:pPr>
    </w:p>
    <w:p w14:paraId="1B526D1F" w14:textId="77777777" w:rsidR="00161CC3" w:rsidRDefault="00000000">
      <w:r>
        <w:t>U odnosu na isto razdoblje protekle godine došlo je do povećanja povremenog poreza na imovinu, a radi se o porezu na promet nekretnina, i to za 4,1%, što znači da, iako je i dalje primjetan lagani rast, promet tržišta nekretnina lagano stagnira. </w:t>
      </w:r>
    </w:p>
    <w:p w14:paraId="4430EDEB" w14:textId="77777777" w:rsidR="00161CC3" w:rsidRDefault="00000000">
      <w:r>
        <w:t>U pogledu stalnog poreza nepokretnu imovinu, zabilježen je lagani pad u odnosu na prethodnu godinu. unutar navedene podskupine, porez na korištenje javnih površina, ostvaren je gotovo na istom nivou kao i prethodne godine, dok je kod poreza na kuće za odmor (od 2025. porez na nekretnine) zabilježen neznatni pad. </w:t>
      </w:r>
    </w:p>
    <w:p w14:paraId="242417EE" w14:textId="77777777" w:rsidR="00161CC3" w:rsidRDefault="00000000">
      <w:r>
        <w:t>Obračun i naplatu spomenutog poreza za Grad Labin vodi Istarska županija, a s obzirom na poteškoće koje su ih zadesile krajem 2025. godine, nisu bili u mogućnosti izdati određeni broj rješenja. Spomenuta rješenja izdati će se u 2026. godini. </w:t>
      </w:r>
    </w:p>
    <w:p w14:paraId="17B6CAD9" w14:textId="77777777" w:rsidR="00161CC3" w:rsidRDefault="00161CC3"/>
    <w:p w14:paraId="5A90A1F3" w14:textId="77777777" w:rsidR="00161CC3"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24CAF46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A1CD2D"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4938C0"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12EBE6"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F0C1B4"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43E67E"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EE29EB" w14:textId="77777777" w:rsidR="00161CC3" w:rsidRDefault="00000000">
            <w:pPr>
              <w:keepNext/>
              <w:keepLines/>
              <w:spacing w:after="0" w:line="240" w:lineRule="auto"/>
              <w:jc w:val="center"/>
            </w:pPr>
            <w:r>
              <w:rPr>
                <w:b/>
                <w:sz w:val="18"/>
              </w:rPr>
              <w:t>Indeks (%)</w:t>
            </w:r>
          </w:p>
        </w:tc>
      </w:tr>
      <w:tr w:rsidR="00161CC3" w14:paraId="3818D3AF" w14:textId="77777777">
        <w:tblPrEx>
          <w:tblCellMar>
            <w:top w:w="0" w:type="dxa"/>
            <w:bottom w:w="0" w:type="dxa"/>
          </w:tblCellMar>
        </w:tblPrEx>
        <w:trPr>
          <w:cantSplit/>
          <w:trHeight w:val="560"/>
        </w:trPr>
        <w:tc>
          <w:tcPr>
            <w:tcW w:w="700" w:type="dxa"/>
            <w:tcMar>
              <w:top w:w="0" w:type="dxa"/>
              <w:bottom w:w="0" w:type="dxa"/>
            </w:tcMar>
            <w:vAlign w:val="center"/>
          </w:tcPr>
          <w:p w14:paraId="190F4A65" w14:textId="77777777" w:rsidR="00161CC3" w:rsidRDefault="00000000">
            <w:pPr>
              <w:keepNext/>
              <w:keepLines/>
              <w:spacing w:after="0" w:line="240" w:lineRule="auto"/>
            </w:pPr>
            <w:r>
              <w:rPr>
                <w:sz w:val="18"/>
              </w:rPr>
              <w:t>614</w:t>
            </w:r>
          </w:p>
        </w:tc>
        <w:tc>
          <w:tcPr>
            <w:tcW w:w="3180" w:type="dxa"/>
            <w:tcMar>
              <w:top w:w="0" w:type="dxa"/>
              <w:bottom w:w="0" w:type="dxa"/>
            </w:tcMar>
            <w:vAlign w:val="center"/>
          </w:tcPr>
          <w:p w14:paraId="7AA5CDE5" w14:textId="77777777" w:rsidR="00161CC3" w:rsidRDefault="00000000">
            <w:pPr>
              <w:keepNext/>
              <w:keepLines/>
              <w:spacing w:after="0" w:line="240" w:lineRule="auto"/>
            </w:pPr>
            <w:r>
              <w:rPr>
                <w:sz w:val="18"/>
              </w:rPr>
              <w:t>Porezi na robu i usluge (šifre 6141 do 61476148)</w:t>
            </w:r>
          </w:p>
        </w:tc>
        <w:tc>
          <w:tcPr>
            <w:tcW w:w="700" w:type="dxa"/>
            <w:tcMar>
              <w:top w:w="0" w:type="dxa"/>
              <w:bottom w:w="0" w:type="dxa"/>
            </w:tcMar>
            <w:vAlign w:val="center"/>
          </w:tcPr>
          <w:p w14:paraId="45D8B5CA" w14:textId="77777777" w:rsidR="00161CC3" w:rsidRDefault="00000000">
            <w:pPr>
              <w:keepNext/>
              <w:keepLines/>
              <w:spacing w:after="0" w:line="240" w:lineRule="auto"/>
            </w:pPr>
            <w:r>
              <w:rPr>
                <w:sz w:val="18"/>
              </w:rPr>
              <w:t>614</w:t>
            </w:r>
          </w:p>
        </w:tc>
        <w:tc>
          <w:tcPr>
            <w:tcW w:w="1860" w:type="dxa"/>
            <w:tcMar>
              <w:top w:w="0" w:type="dxa"/>
              <w:bottom w:w="0" w:type="dxa"/>
            </w:tcMar>
            <w:vAlign w:val="center"/>
          </w:tcPr>
          <w:p w14:paraId="25C2D9EE" w14:textId="77777777" w:rsidR="00161CC3" w:rsidRDefault="00000000">
            <w:pPr>
              <w:keepNext/>
              <w:keepLines/>
              <w:spacing w:after="0" w:line="240" w:lineRule="auto"/>
              <w:jc w:val="right"/>
            </w:pPr>
            <w:r>
              <w:rPr>
                <w:sz w:val="18"/>
              </w:rPr>
              <w:t>212.352,84</w:t>
            </w:r>
          </w:p>
        </w:tc>
        <w:tc>
          <w:tcPr>
            <w:tcW w:w="1860" w:type="dxa"/>
            <w:tcMar>
              <w:top w:w="0" w:type="dxa"/>
              <w:bottom w:w="0" w:type="dxa"/>
            </w:tcMar>
            <w:vAlign w:val="center"/>
          </w:tcPr>
          <w:p w14:paraId="3F2F473E" w14:textId="77777777" w:rsidR="00161CC3" w:rsidRDefault="00000000">
            <w:pPr>
              <w:keepNext/>
              <w:keepLines/>
              <w:spacing w:after="0" w:line="240" w:lineRule="auto"/>
              <w:jc w:val="right"/>
            </w:pPr>
            <w:r>
              <w:rPr>
                <w:sz w:val="18"/>
              </w:rPr>
              <w:t>214.516,41</w:t>
            </w:r>
          </w:p>
        </w:tc>
        <w:tc>
          <w:tcPr>
            <w:tcW w:w="700" w:type="dxa"/>
            <w:tcMar>
              <w:top w:w="0" w:type="dxa"/>
              <w:bottom w:w="0" w:type="dxa"/>
            </w:tcMar>
            <w:vAlign w:val="center"/>
          </w:tcPr>
          <w:p w14:paraId="13CCEFD1" w14:textId="77777777" w:rsidR="00161CC3" w:rsidRDefault="00000000">
            <w:pPr>
              <w:keepNext/>
              <w:keepLines/>
              <w:spacing w:after="0" w:line="240" w:lineRule="auto"/>
              <w:jc w:val="right"/>
            </w:pPr>
            <w:r>
              <w:rPr>
                <w:sz w:val="18"/>
              </w:rPr>
              <w:t>101,0</w:t>
            </w:r>
          </w:p>
        </w:tc>
      </w:tr>
    </w:tbl>
    <w:p w14:paraId="2B7DA13D" w14:textId="77777777" w:rsidR="00161CC3" w:rsidRDefault="00161CC3">
      <w:pPr>
        <w:spacing w:after="0"/>
      </w:pPr>
    </w:p>
    <w:p w14:paraId="0D9F71A3" w14:textId="77777777" w:rsidR="00161CC3" w:rsidRDefault="00000000">
      <w:r>
        <w:t>Prihod od poreza na promet alkoholnih i bezalkoholnih pića ostvaren je gotovo na istoj razini kao i prethodne godine.</w:t>
      </w:r>
    </w:p>
    <w:p w14:paraId="38D730D7" w14:textId="77777777" w:rsidR="00161CC3" w:rsidRDefault="00161CC3"/>
    <w:p w14:paraId="32796B8B" w14:textId="77777777" w:rsidR="00161CC3"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19F43AF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1F7940"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7B9094"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6628D9"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39F7AE"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DFA8CC"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5B8B19" w14:textId="77777777" w:rsidR="00161CC3" w:rsidRDefault="00000000">
            <w:pPr>
              <w:keepNext/>
              <w:keepLines/>
              <w:spacing w:after="0" w:line="240" w:lineRule="auto"/>
              <w:jc w:val="center"/>
            </w:pPr>
            <w:r>
              <w:rPr>
                <w:b/>
                <w:sz w:val="18"/>
              </w:rPr>
              <w:t>Indeks (%)</w:t>
            </w:r>
          </w:p>
        </w:tc>
      </w:tr>
      <w:tr w:rsidR="00161CC3" w14:paraId="47612822" w14:textId="77777777">
        <w:tblPrEx>
          <w:tblCellMar>
            <w:top w:w="0" w:type="dxa"/>
            <w:bottom w:w="0" w:type="dxa"/>
          </w:tblCellMar>
        </w:tblPrEx>
        <w:trPr>
          <w:cantSplit/>
          <w:trHeight w:val="560"/>
        </w:trPr>
        <w:tc>
          <w:tcPr>
            <w:tcW w:w="700" w:type="dxa"/>
            <w:tcMar>
              <w:top w:w="0" w:type="dxa"/>
              <w:bottom w:w="0" w:type="dxa"/>
            </w:tcMar>
            <w:vAlign w:val="center"/>
          </w:tcPr>
          <w:p w14:paraId="4987CDF5" w14:textId="77777777" w:rsidR="00161CC3" w:rsidRDefault="00000000">
            <w:pPr>
              <w:keepNext/>
              <w:keepLines/>
              <w:spacing w:after="0" w:line="240" w:lineRule="auto"/>
            </w:pPr>
            <w:r>
              <w:rPr>
                <w:sz w:val="18"/>
              </w:rPr>
              <w:t>632</w:t>
            </w:r>
          </w:p>
        </w:tc>
        <w:tc>
          <w:tcPr>
            <w:tcW w:w="3180" w:type="dxa"/>
            <w:tcMar>
              <w:top w:w="0" w:type="dxa"/>
              <w:bottom w:w="0" w:type="dxa"/>
            </w:tcMar>
            <w:vAlign w:val="center"/>
          </w:tcPr>
          <w:p w14:paraId="79F505DE" w14:textId="77777777" w:rsidR="00161CC3" w:rsidRDefault="00000000">
            <w:pPr>
              <w:keepNext/>
              <w:keepLines/>
              <w:spacing w:after="0" w:line="240" w:lineRule="auto"/>
            </w:pPr>
            <w:r>
              <w:rPr>
                <w:sz w:val="18"/>
              </w:rPr>
              <w:t>Pomoći od međunarodnih organizacija te institucija i tijela EU (šifre 6321 do 6324)</w:t>
            </w:r>
          </w:p>
        </w:tc>
        <w:tc>
          <w:tcPr>
            <w:tcW w:w="700" w:type="dxa"/>
            <w:tcMar>
              <w:top w:w="0" w:type="dxa"/>
              <w:bottom w:w="0" w:type="dxa"/>
            </w:tcMar>
            <w:vAlign w:val="center"/>
          </w:tcPr>
          <w:p w14:paraId="47EF1BFF" w14:textId="77777777" w:rsidR="00161CC3" w:rsidRDefault="00000000">
            <w:pPr>
              <w:keepNext/>
              <w:keepLines/>
              <w:spacing w:after="0" w:line="240" w:lineRule="auto"/>
            </w:pPr>
            <w:r>
              <w:rPr>
                <w:sz w:val="18"/>
              </w:rPr>
              <w:t>632</w:t>
            </w:r>
          </w:p>
        </w:tc>
        <w:tc>
          <w:tcPr>
            <w:tcW w:w="1860" w:type="dxa"/>
            <w:tcMar>
              <w:top w:w="0" w:type="dxa"/>
              <w:bottom w:w="0" w:type="dxa"/>
            </w:tcMar>
            <w:vAlign w:val="center"/>
          </w:tcPr>
          <w:p w14:paraId="3B11D357" w14:textId="77777777" w:rsidR="00161CC3" w:rsidRDefault="00000000">
            <w:pPr>
              <w:keepNext/>
              <w:keepLines/>
              <w:spacing w:after="0" w:line="240" w:lineRule="auto"/>
              <w:jc w:val="right"/>
            </w:pPr>
            <w:r>
              <w:rPr>
                <w:sz w:val="18"/>
              </w:rPr>
              <w:t>74.392,64</w:t>
            </w:r>
          </w:p>
        </w:tc>
        <w:tc>
          <w:tcPr>
            <w:tcW w:w="1860" w:type="dxa"/>
            <w:tcMar>
              <w:top w:w="0" w:type="dxa"/>
              <w:bottom w:w="0" w:type="dxa"/>
            </w:tcMar>
            <w:vAlign w:val="center"/>
          </w:tcPr>
          <w:p w14:paraId="35E571F2" w14:textId="77777777" w:rsidR="00161CC3" w:rsidRDefault="00000000">
            <w:pPr>
              <w:keepNext/>
              <w:keepLines/>
              <w:spacing w:after="0" w:line="240" w:lineRule="auto"/>
              <w:jc w:val="right"/>
            </w:pPr>
            <w:r>
              <w:rPr>
                <w:sz w:val="18"/>
              </w:rPr>
              <w:t>131.615,05</w:t>
            </w:r>
          </w:p>
        </w:tc>
        <w:tc>
          <w:tcPr>
            <w:tcW w:w="700" w:type="dxa"/>
            <w:tcMar>
              <w:top w:w="0" w:type="dxa"/>
              <w:bottom w:w="0" w:type="dxa"/>
            </w:tcMar>
            <w:vAlign w:val="center"/>
          </w:tcPr>
          <w:p w14:paraId="3E511360" w14:textId="77777777" w:rsidR="00161CC3" w:rsidRDefault="00000000">
            <w:pPr>
              <w:keepNext/>
              <w:keepLines/>
              <w:spacing w:after="0" w:line="240" w:lineRule="auto"/>
              <w:jc w:val="right"/>
            </w:pPr>
            <w:r>
              <w:rPr>
                <w:sz w:val="18"/>
              </w:rPr>
              <w:t>176,9</w:t>
            </w:r>
          </w:p>
        </w:tc>
      </w:tr>
    </w:tbl>
    <w:p w14:paraId="754D8D85" w14:textId="77777777" w:rsidR="00161CC3" w:rsidRDefault="00161CC3">
      <w:pPr>
        <w:spacing w:after="0"/>
      </w:pPr>
    </w:p>
    <w:p w14:paraId="3B3B1A1B" w14:textId="77777777" w:rsidR="00161CC3" w:rsidRDefault="00000000">
      <w:r>
        <w:t>U ovoj godini u podskupini 632 ostvareni su prihodi u iznosu od 131.615,05 EUR koji se odnose na prihode po EU projektima koji su realizirani u 2024. godini, ali je isplata sredstava od EU ostvarena u ovoj godini.</w:t>
      </w:r>
    </w:p>
    <w:p w14:paraId="65656223" w14:textId="77777777" w:rsidR="00161CC3" w:rsidRDefault="00000000">
      <w:r>
        <w:t>U 2024. godini ostvareno je manje prihoda u ovoj podskupini konta budući da su prijenosi sredstava po projektima sufinanciranih od strane EU tijekom 2023. i 2024. godine ostvareni posredstvom Republike Hrvatske isplatom iz državnog proračuna i knjiženi su na kontima 633 i 638.</w:t>
      </w:r>
    </w:p>
    <w:p w14:paraId="7D72BADE" w14:textId="77777777" w:rsidR="00161CC3" w:rsidRDefault="00161CC3"/>
    <w:p w14:paraId="3577D4E7" w14:textId="77777777" w:rsidR="00161CC3"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6A8F437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2F7E4E"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0D4EC1"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930279"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D2DD49"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8000A0"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2A4E26C" w14:textId="77777777" w:rsidR="00161CC3" w:rsidRDefault="00000000">
            <w:pPr>
              <w:keepNext/>
              <w:keepLines/>
              <w:spacing w:after="0" w:line="240" w:lineRule="auto"/>
              <w:jc w:val="center"/>
            </w:pPr>
            <w:r>
              <w:rPr>
                <w:b/>
                <w:sz w:val="18"/>
              </w:rPr>
              <w:t>Indeks (%)</w:t>
            </w:r>
          </w:p>
        </w:tc>
      </w:tr>
      <w:tr w:rsidR="00161CC3" w14:paraId="0274B9D3" w14:textId="77777777">
        <w:tblPrEx>
          <w:tblCellMar>
            <w:top w:w="0" w:type="dxa"/>
            <w:bottom w:w="0" w:type="dxa"/>
          </w:tblCellMar>
        </w:tblPrEx>
        <w:trPr>
          <w:cantSplit/>
          <w:trHeight w:val="560"/>
        </w:trPr>
        <w:tc>
          <w:tcPr>
            <w:tcW w:w="700" w:type="dxa"/>
            <w:tcMar>
              <w:top w:w="0" w:type="dxa"/>
              <w:bottom w:w="0" w:type="dxa"/>
            </w:tcMar>
            <w:vAlign w:val="center"/>
          </w:tcPr>
          <w:p w14:paraId="151B29B5" w14:textId="77777777" w:rsidR="00161CC3" w:rsidRDefault="00000000">
            <w:pPr>
              <w:keepNext/>
              <w:keepLines/>
              <w:spacing w:after="0" w:line="240" w:lineRule="auto"/>
            </w:pPr>
            <w:r>
              <w:rPr>
                <w:sz w:val="18"/>
              </w:rPr>
              <w:t>633</w:t>
            </w:r>
          </w:p>
        </w:tc>
        <w:tc>
          <w:tcPr>
            <w:tcW w:w="3180" w:type="dxa"/>
            <w:tcMar>
              <w:top w:w="0" w:type="dxa"/>
              <w:bottom w:w="0" w:type="dxa"/>
            </w:tcMar>
            <w:vAlign w:val="center"/>
          </w:tcPr>
          <w:p w14:paraId="4E1BCE8F" w14:textId="77777777" w:rsidR="00161CC3" w:rsidRDefault="00000000">
            <w:pPr>
              <w:keepNext/>
              <w:keepLines/>
              <w:spacing w:after="0" w:line="240" w:lineRule="auto"/>
            </w:pPr>
            <w:r>
              <w:rPr>
                <w:sz w:val="18"/>
              </w:rPr>
              <w:t>Pomoći proračunu i izvanproračunskim korisnicima iz drugih proračuna (šifre 6331+6332)</w:t>
            </w:r>
          </w:p>
        </w:tc>
        <w:tc>
          <w:tcPr>
            <w:tcW w:w="700" w:type="dxa"/>
            <w:tcMar>
              <w:top w:w="0" w:type="dxa"/>
              <w:bottom w:w="0" w:type="dxa"/>
            </w:tcMar>
            <w:vAlign w:val="center"/>
          </w:tcPr>
          <w:p w14:paraId="1BD01A92" w14:textId="77777777" w:rsidR="00161CC3" w:rsidRDefault="00000000">
            <w:pPr>
              <w:keepNext/>
              <w:keepLines/>
              <w:spacing w:after="0" w:line="240" w:lineRule="auto"/>
            </w:pPr>
            <w:r>
              <w:rPr>
                <w:sz w:val="18"/>
              </w:rPr>
              <w:t>633</w:t>
            </w:r>
          </w:p>
        </w:tc>
        <w:tc>
          <w:tcPr>
            <w:tcW w:w="1860" w:type="dxa"/>
            <w:tcMar>
              <w:top w:w="0" w:type="dxa"/>
              <w:bottom w:w="0" w:type="dxa"/>
            </w:tcMar>
            <w:vAlign w:val="center"/>
          </w:tcPr>
          <w:p w14:paraId="1998059E" w14:textId="77777777" w:rsidR="00161CC3" w:rsidRDefault="00000000">
            <w:pPr>
              <w:keepNext/>
              <w:keepLines/>
              <w:spacing w:after="0" w:line="240" w:lineRule="auto"/>
              <w:jc w:val="right"/>
            </w:pPr>
            <w:r>
              <w:rPr>
                <w:sz w:val="18"/>
              </w:rPr>
              <w:t>749.919,01</w:t>
            </w:r>
          </w:p>
        </w:tc>
        <w:tc>
          <w:tcPr>
            <w:tcW w:w="1860" w:type="dxa"/>
            <w:tcMar>
              <w:top w:w="0" w:type="dxa"/>
              <w:bottom w:w="0" w:type="dxa"/>
            </w:tcMar>
            <w:vAlign w:val="center"/>
          </w:tcPr>
          <w:p w14:paraId="781C492C" w14:textId="77777777" w:rsidR="00161CC3" w:rsidRDefault="00000000">
            <w:pPr>
              <w:keepNext/>
              <w:keepLines/>
              <w:spacing w:after="0" w:line="240" w:lineRule="auto"/>
              <w:jc w:val="right"/>
            </w:pPr>
            <w:r>
              <w:rPr>
                <w:sz w:val="18"/>
              </w:rPr>
              <w:t>981.456,86</w:t>
            </w:r>
          </w:p>
        </w:tc>
        <w:tc>
          <w:tcPr>
            <w:tcW w:w="700" w:type="dxa"/>
            <w:tcMar>
              <w:top w:w="0" w:type="dxa"/>
              <w:bottom w:w="0" w:type="dxa"/>
            </w:tcMar>
            <w:vAlign w:val="center"/>
          </w:tcPr>
          <w:p w14:paraId="703027D3" w14:textId="77777777" w:rsidR="00161CC3" w:rsidRDefault="00000000">
            <w:pPr>
              <w:keepNext/>
              <w:keepLines/>
              <w:spacing w:after="0" w:line="240" w:lineRule="auto"/>
              <w:jc w:val="right"/>
            </w:pPr>
            <w:r>
              <w:rPr>
                <w:sz w:val="18"/>
              </w:rPr>
              <w:t>130,9</w:t>
            </w:r>
          </w:p>
        </w:tc>
      </w:tr>
    </w:tbl>
    <w:p w14:paraId="530983FB" w14:textId="77777777" w:rsidR="00161CC3" w:rsidRDefault="00161CC3">
      <w:pPr>
        <w:spacing w:after="0"/>
      </w:pPr>
    </w:p>
    <w:p w14:paraId="2F191418" w14:textId="77777777" w:rsidR="00161CC3" w:rsidRDefault="00000000">
      <w:r>
        <w:t>U ovoj podskupini ostvareni su prihodi u iznosu od 981.456,86 EUR, od čega se iznos od 738.067,45 EUR odnosi na tekuće pomoći, a iznos od 243.389,41 EUR odnosi se na kapitalne pomoći.</w:t>
      </w:r>
    </w:p>
    <w:p w14:paraId="7024BA60" w14:textId="77777777" w:rsidR="00161CC3" w:rsidRDefault="00000000">
      <w:r>
        <w:t>Od ukupnog iznosa tekućih pomoći, iznos od 244.106,99 EUR odnosi na prihode ostvarene od okolnih Općina kao udio u decentraliziranim sredstvima za funkcije vatrogastva.  </w:t>
      </w:r>
    </w:p>
    <w:p w14:paraId="4C0EF706" w14:textId="77777777" w:rsidR="00161CC3" w:rsidRDefault="00000000">
      <w:r>
        <w:t>Iznos od 10.769,40 EUR odnosi se na tekuće pomoći državnog proračuna za provedbu mjera poticanja konzumacije voća u školama.</w:t>
      </w:r>
    </w:p>
    <w:p w14:paraId="75278EA6" w14:textId="77777777" w:rsidR="00161CC3" w:rsidRDefault="00000000">
      <w:r>
        <w:t>Iznos od 50.405,41 EUR odnosi se na pomoći državnog proračuna u vidu sufinanciranja učešća Grada u provedbi EU projekata.</w:t>
      </w:r>
    </w:p>
    <w:p w14:paraId="09985E9C" w14:textId="77777777" w:rsidR="00161CC3" w:rsidRDefault="00000000">
      <w:r>
        <w:t>Iznos od 4.000,00 EUR odnosi se na tekuće pomoći državnog proračuna za provedbu programa kulture dok se iznos od 376,00 EUR odnosi na tekuće pomoći državnog proračuna za provedbu manifestacije Medni dani.</w:t>
      </w:r>
    </w:p>
    <w:p w14:paraId="35723428" w14:textId="77777777" w:rsidR="00161CC3" w:rsidRDefault="00000000">
      <w:r>
        <w:t xml:space="preserve">Iznos od 66.361,40 EUR odnosi se na sredstva državnog proračuna isplaćena po osnovi poticaja za dobrovoljno funkcionalno spajanje jedinica lokalne samouprave, budući da su Grad Labin, Općina Raša te Općina Sveta Nedjelja sklopili Sporazum o uređenju međusobnih odnosa u zajedničkom organiziranju obavljanja djelatnosti predškolskog odgoja i obrazovanja putem javne ustanove Dječji vrtić </w:t>
      </w:r>
      <w:proofErr w:type="spellStart"/>
      <w:r>
        <w:t>Pjerina</w:t>
      </w:r>
      <w:proofErr w:type="spellEnd"/>
      <w:r>
        <w:t xml:space="preserve"> </w:t>
      </w:r>
      <w:proofErr w:type="spellStart"/>
      <w:r>
        <w:t>Verbanac</w:t>
      </w:r>
      <w:proofErr w:type="spellEnd"/>
      <w:r>
        <w:t>.</w:t>
      </w:r>
    </w:p>
    <w:p w14:paraId="79479FD2" w14:textId="77777777" w:rsidR="00161CC3" w:rsidRDefault="00000000">
      <w:r>
        <w:t>Iznos od 318.168,00   EUR odnosi na tekuće pomoći državnog proračuna, a sukladno Uredbi o kriterijima i mjerilima za utvrđivanje iznosa sredstava za fiskalnu održivost dječjih vrtića i Odluke o dodjeli sredstava za fiskalnu održivost dječjih vrtića za jedinice lokalne samouprave.  </w:t>
      </w:r>
    </w:p>
    <w:p w14:paraId="4BCB2B75" w14:textId="77777777" w:rsidR="00161CC3" w:rsidRDefault="00000000">
      <w:r>
        <w:t>Tekuće pomoći županijskog proračuna ostvarene su u iznosu od 43.880,25 EUR i to 2.000,00 EUR za program kulture, 8.000,00 EUR za pomoć i njegu u kući te 33.880,25 EUR za provedbu lokalnih izbora.</w:t>
      </w:r>
    </w:p>
    <w:p w14:paraId="4C4EFE32" w14:textId="77777777" w:rsidR="00161CC3" w:rsidRDefault="00000000">
      <w:r>
        <w:t xml:space="preserve">Od ukupnog iznosa kapitalnih pomoći, iznos od 65.928,85 EUR odnosi se na kapitalne pomoći državnog proračuna za provedbu ukupno pet projekata, a najveći se iznos odnosi na ulaganje u obnovu dječjeg igrališta u sklopu centralnog odjeljenja dječjeg vrtića </w:t>
      </w:r>
      <w:proofErr w:type="spellStart"/>
      <w:r>
        <w:t>Pjerina</w:t>
      </w:r>
      <w:proofErr w:type="spellEnd"/>
      <w:r>
        <w:t xml:space="preserve"> </w:t>
      </w:r>
      <w:proofErr w:type="spellStart"/>
      <w:r>
        <w:t>Verbanac</w:t>
      </w:r>
      <w:proofErr w:type="spellEnd"/>
      <w:r>
        <w:t xml:space="preserve"> Labin u iznosu od  37.928,85 EUR.</w:t>
      </w:r>
    </w:p>
    <w:p w14:paraId="0D7AA413" w14:textId="77777777" w:rsidR="00161CC3" w:rsidRDefault="00000000">
      <w:r>
        <w:t xml:space="preserve">Iznos od 169.960,56 EUR odnosi se na kapitalne pomoći županijskog proračuna za sufinanciranje otplate kredita kapitalne investicije izgradnje Doma za starije osobe u Labinu </w:t>
      </w:r>
      <w:r>
        <w:lastRenderedPageBreak/>
        <w:t>dok se iznos od 7.500,00 EUR odnosi na Kapitalne pomoći iz županijskog proračuna za ulaganje u sustav automatskog navodnjavanja  nogometnog terena NK Iskra-Vinež.</w:t>
      </w:r>
    </w:p>
    <w:p w14:paraId="34F53390" w14:textId="77777777" w:rsidR="00161CC3" w:rsidRDefault="00000000">
      <w:r>
        <w:t>Primjetno je povećanje prihoda u ovoj podskupini u odnosu na isto razdoblje prethodne godine, a povećanje se prvenstveno odnosi na povećanje iznosa prihoda ostvarenih od državnog proračuna temeljem Uredbe o kriterijima i mjerilima za utvrđivanje iznosa sredstava za fiskalnu održivost dječjih vrtića i Odluke o dodjeli sredstava za fiskalnu održivost dječjih vrtića za jedinice lokalne samouprave, zatim na prihode ostvarene od državnog proračuna u vidu sufinanciranja učešća Grada u provedbi EU projekata te prihode od županijskog proračuna za provedbu lokalnih izbora.</w:t>
      </w:r>
    </w:p>
    <w:p w14:paraId="3DC7D9CE" w14:textId="77777777" w:rsidR="00161CC3" w:rsidRDefault="00000000">
      <w:r>
        <w:t> </w:t>
      </w:r>
    </w:p>
    <w:p w14:paraId="36FB7A0B" w14:textId="77777777" w:rsidR="00161CC3" w:rsidRDefault="00161CC3"/>
    <w:p w14:paraId="6885D967" w14:textId="77777777" w:rsidR="00161CC3"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1768A62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F22359"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4312DA"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372969"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3C707F"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B47953"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9F400B" w14:textId="77777777" w:rsidR="00161CC3" w:rsidRDefault="00000000">
            <w:pPr>
              <w:keepNext/>
              <w:keepLines/>
              <w:spacing w:after="0" w:line="240" w:lineRule="auto"/>
              <w:jc w:val="center"/>
            </w:pPr>
            <w:r>
              <w:rPr>
                <w:b/>
                <w:sz w:val="18"/>
              </w:rPr>
              <w:t>Indeks (%)</w:t>
            </w:r>
          </w:p>
        </w:tc>
      </w:tr>
      <w:tr w:rsidR="00161CC3" w14:paraId="37BD2335" w14:textId="77777777">
        <w:tblPrEx>
          <w:tblCellMar>
            <w:top w:w="0" w:type="dxa"/>
            <w:bottom w:w="0" w:type="dxa"/>
          </w:tblCellMar>
        </w:tblPrEx>
        <w:trPr>
          <w:cantSplit/>
          <w:trHeight w:val="560"/>
        </w:trPr>
        <w:tc>
          <w:tcPr>
            <w:tcW w:w="700" w:type="dxa"/>
            <w:tcMar>
              <w:top w:w="0" w:type="dxa"/>
              <w:bottom w:w="0" w:type="dxa"/>
            </w:tcMar>
            <w:vAlign w:val="center"/>
          </w:tcPr>
          <w:p w14:paraId="24BA52C6" w14:textId="77777777" w:rsidR="00161CC3" w:rsidRDefault="00000000">
            <w:pPr>
              <w:keepNext/>
              <w:keepLines/>
              <w:spacing w:after="0" w:line="240" w:lineRule="auto"/>
            </w:pPr>
            <w:r>
              <w:rPr>
                <w:sz w:val="18"/>
              </w:rPr>
              <w:t>634</w:t>
            </w:r>
          </w:p>
        </w:tc>
        <w:tc>
          <w:tcPr>
            <w:tcW w:w="3180" w:type="dxa"/>
            <w:tcMar>
              <w:top w:w="0" w:type="dxa"/>
              <w:bottom w:w="0" w:type="dxa"/>
            </w:tcMar>
            <w:vAlign w:val="center"/>
          </w:tcPr>
          <w:p w14:paraId="1B064967" w14:textId="77777777" w:rsidR="00161CC3" w:rsidRDefault="00000000">
            <w:pPr>
              <w:keepNext/>
              <w:keepLines/>
              <w:spacing w:after="0" w:line="240" w:lineRule="auto"/>
            </w:pPr>
            <w:r>
              <w:rPr>
                <w:sz w:val="18"/>
              </w:rPr>
              <w:t>Pomoći od izvanproračunskih korisnika (šifre 6341+6342)</w:t>
            </w:r>
          </w:p>
        </w:tc>
        <w:tc>
          <w:tcPr>
            <w:tcW w:w="700" w:type="dxa"/>
            <w:tcMar>
              <w:top w:w="0" w:type="dxa"/>
              <w:bottom w:w="0" w:type="dxa"/>
            </w:tcMar>
            <w:vAlign w:val="center"/>
          </w:tcPr>
          <w:p w14:paraId="5B3AB53B" w14:textId="77777777" w:rsidR="00161CC3" w:rsidRDefault="00000000">
            <w:pPr>
              <w:keepNext/>
              <w:keepLines/>
              <w:spacing w:after="0" w:line="240" w:lineRule="auto"/>
            </w:pPr>
            <w:r>
              <w:rPr>
                <w:sz w:val="18"/>
              </w:rPr>
              <w:t>634</w:t>
            </w:r>
          </w:p>
        </w:tc>
        <w:tc>
          <w:tcPr>
            <w:tcW w:w="1860" w:type="dxa"/>
            <w:tcMar>
              <w:top w:w="0" w:type="dxa"/>
              <w:bottom w:w="0" w:type="dxa"/>
            </w:tcMar>
            <w:vAlign w:val="center"/>
          </w:tcPr>
          <w:p w14:paraId="764776D7" w14:textId="77777777" w:rsidR="00161CC3" w:rsidRDefault="00000000">
            <w:pPr>
              <w:keepNext/>
              <w:keepLines/>
              <w:spacing w:after="0" w:line="240" w:lineRule="auto"/>
              <w:jc w:val="right"/>
            </w:pPr>
            <w:r>
              <w:rPr>
                <w:sz w:val="18"/>
              </w:rPr>
              <w:t>50.201,00</w:t>
            </w:r>
          </w:p>
        </w:tc>
        <w:tc>
          <w:tcPr>
            <w:tcW w:w="1860" w:type="dxa"/>
            <w:tcMar>
              <w:top w:w="0" w:type="dxa"/>
              <w:bottom w:w="0" w:type="dxa"/>
            </w:tcMar>
            <w:vAlign w:val="center"/>
          </w:tcPr>
          <w:p w14:paraId="2EA71137" w14:textId="77777777" w:rsidR="00161CC3" w:rsidRDefault="00000000">
            <w:pPr>
              <w:keepNext/>
              <w:keepLines/>
              <w:spacing w:after="0" w:line="240" w:lineRule="auto"/>
              <w:jc w:val="right"/>
            </w:pPr>
            <w:r>
              <w:rPr>
                <w:sz w:val="18"/>
              </w:rPr>
              <w:t>131.760,61</w:t>
            </w:r>
          </w:p>
        </w:tc>
        <w:tc>
          <w:tcPr>
            <w:tcW w:w="700" w:type="dxa"/>
            <w:tcMar>
              <w:top w:w="0" w:type="dxa"/>
              <w:bottom w:w="0" w:type="dxa"/>
            </w:tcMar>
            <w:vAlign w:val="center"/>
          </w:tcPr>
          <w:p w14:paraId="5A4C2F3D" w14:textId="77777777" w:rsidR="00161CC3" w:rsidRDefault="00000000">
            <w:pPr>
              <w:keepNext/>
              <w:keepLines/>
              <w:spacing w:after="0" w:line="240" w:lineRule="auto"/>
              <w:jc w:val="right"/>
            </w:pPr>
            <w:r>
              <w:rPr>
                <w:sz w:val="18"/>
              </w:rPr>
              <w:t>262,5</w:t>
            </w:r>
          </w:p>
        </w:tc>
      </w:tr>
    </w:tbl>
    <w:p w14:paraId="6DFC7F3E" w14:textId="77777777" w:rsidR="00161CC3" w:rsidRDefault="00161CC3">
      <w:pPr>
        <w:spacing w:after="0"/>
      </w:pPr>
    </w:p>
    <w:p w14:paraId="0AAA694F" w14:textId="77777777" w:rsidR="00161CC3" w:rsidRDefault="00000000">
      <w:r>
        <w:t xml:space="preserve">U ovoj godini u ovoj podskupini ostvaren je prihodi u ukupnom iznosu od 131.760,61 EUR. Od navedenog iznosa, iznos od 126.200,61 EUR odnosi na uplatu od Fonda za zaštitu okoliša i energetsku učinkovitost za provedbu projekta hortikulturnog uređenja Spomenika Rudaru borcu u Labinu koji je u cijelosti </w:t>
      </w:r>
      <w:proofErr w:type="spellStart"/>
      <w:r>
        <w:t>izrealiziran</w:t>
      </w:r>
      <w:proofErr w:type="spellEnd"/>
      <w:r>
        <w:t xml:space="preserve"> u 2024. godini, ali je isplata izvršena u tekućoj godini. Preostali iznos od 5.560,00 EUR odnosi se na tekuće pomoći po Pilot projektu razvoja zelene infrastrukture i/ili kružnog gospodarenja prostorom i zgradama na području Grada Labina.</w:t>
      </w:r>
    </w:p>
    <w:p w14:paraId="4696B1DF" w14:textId="77777777" w:rsidR="00161CC3" w:rsidRDefault="00161CC3"/>
    <w:p w14:paraId="1E329E5E" w14:textId="77777777" w:rsidR="00161CC3"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3D52387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F23446"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CC16C7"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92B6B9"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78964D"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C2AB934"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E0FC053" w14:textId="77777777" w:rsidR="00161CC3" w:rsidRDefault="00000000">
            <w:pPr>
              <w:keepNext/>
              <w:keepLines/>
              <w:spacing w:after="0" w:line="240" w:lineRule="auto"/>
              <w:jc w:val="center"/>
            </w:pPr>
            <w:r>
              <w:rPr>
                <w:b/>
                <w:sz w:val="18"/>
              </w:rPr>
              <w:t>Indeks (%)</w:t>
            </w:r>
          </w:p>
        </w:tc>
      </w:tr>
      <w:tr w:rsidR="00161CC3" w14:paraId="24CBEDB9" w14:textId="77777777">
        <w:tblPrEx>
          <w:tblCellMar>
            <w:top w:w="0" w:type="dxa"/>
            <w:bottom w:w="0" w:type="dxa"/>
          </w:tblCellMar>
        </w:tblPrEx>
        <w:trPr>
          <w:cantSplit/>
          <w:trHeight w:val="560"/>
        </w:trPr>
        <w:tc>
          <w:tcPr>
            <w:tcW w:w="700" w:type="dxa"/>
            <w:tcMar>
              <w:top w:w="0" w:type="dxa"/>
              <w:bottom w:w="0" w:type="dxa"/>
            </w:tcMar>
            <w:vAlign w:val="center"/>
          </w:tcPr>
          <w:p w14:paraId="164C56D7" w14:textId="77777777" w:rsidR="00161CC3" w:rsidRDefault="00000000">
            <w:pPr>
              <w:keepNext/>
              <w:keepLines/>
              <w:spacing w:after="0" w:line="240" w:lineRule="auto"/>
            </w:pPr>
            <w:r>
              <w:rPr>
                <w:sz w:val="18"/>
              </w:rPr>
              <w:t>635</w:t>
            </w:r>
          </w:p>
        </w:tc>
        <w:tc>
          <w:tcPr>
            <w:tcW w:w="3180" w:type="dxa"/>
            <w:tcMar>
              <w:top w:w="0" w:type="dxa"/>
              <w:bottom w:w="0" w:type="dxa"/>
            </w:tcMar>
            <w:vAlign w:val="center"/>
          </w:tcPr>
          <w:p w14:paraId="09AC3F64" w14:textId="77777777" w:rsidR="00161CC3" w:rsidRDefault="00000000">
            <w:pPr>
              <w:keepNext/>
              <w:keepLines/>
              <w:spacing w:after="0" w:line="240" w:lineRule="auto"/>
            </w:pPr>
            <w:r>
              <w:rPr>
                <w:sz w:val="18"/>
              </w:rPr>
              <w:t>Pomoći izravnanja za decentralizirane funkcije i fiskalnog izravnanja (šifre 6351 do 6353)</w:t>
            </w:r>
          </w:p>
        </w:tc>
        <w:tc>
          <w:tcPr>
            <w:tcW w:w="700" w:type="dxa"/>
            <w:tcMar>
              <w:top w:w="0" w:type="dxa"/>
              <w:bottom w:w="0" w:type="dxa"/>
            </w:tcMar>
            <w:vAlign w:val="center"/>
          </w:tcPr>
          <w:p w14:paraId="3008852B" w14:textId="77777777" w:rsidR="00161CC3" w:rsidRDefault="00000000">
            <w:pPr>
              <w:keepNext/>
              <w:keepLines/>
              <w:spacing w:after="0" w:line="240" w:lineRule="auto"/>
            </w:pPr>
            <w:r>
              <w:rPr>
                <w:sz w:val="18"/>
              </w:rPr>
              <w:t>635</w:t>
            </w:r>
          </w:p>
        </w:tc>
        <w:tc>
          <w:tcPr>
            <w:tcW w:w="1860" w:type="dxa"/>
            <w:tcMar>
              <w:top w:w="0" w:type="dxa"/>
              <w:bottom w:w="0" w:type="dxa"/>
            </w:tcMar>
            <w:vAlign w:val="center"/>
          </w:tcPr>
          <w:p w14:paraId="51E9920B" w14:textId="77777777" w:rsidR="00161CC3" w:rsidRDefault="00000000">
            <w:pPr>
              <w:keepNext/>
              <w:keepLines/>
              <w:spacing w:after="0" w:line="240" w:lineRule="auto"/>
              <w:jc w:val="right"/>
            </w:pPr>
            <w:r>
              <w:rPr>
                <w:sz w:val="18"/>
              </w:rPr>
              <w:t>380.589,47</w:t>
            </w:r>
          </w:p>
        </w:tc>
        <w:tc>
          <w:tcPr>
            <w:tcW w:w="1860" w:type="dxa"/>
            <w:tcMar>
              <w:top w:w="0" w:type="dxa"/>
              <w:bottom w:w="0" w:type="dxa"/>
            </w:tcMar>
            <w:vAlign w:val="center"/>
          </w:tcPr>
          <w:p w14:paraId="08949E85" w14:textId="77777777" w:rsidR="00161CC3" w:rsidRDefault="00000000">
            <w:pPr>
              <w:keepNext/>
              <w:keepLines/>
              <w:spacing w:after="0" w:line="240" w:lineRule="auto"/>
              <w:jc w:val="right"/>
            </w:pPr>
            <w:r>
              <w:rPr>
                <w:sz w:val="18"/>
              </w:rPr>
              <w:t>365.926,22</w:t>
            </w:r>
          </w:p>
        </w:tc>
        <w:tc>
          <w:tcPr>
            <w:tcW w:w="700" w:type="dxa"/>
            <w:tcMar>
              <w:top w:w="0" w:type="dxa"/>
              <w:bottom w:w="0" w:type="dxa"/>
            </w:tcMar>
            <w:vAlign w:val="center"/>
          </w:tcPr>
          <w:p w14:paraId="489204B8" w14:textId="77777777" w:rsidR="00161CC3" w:rsidRDefault="00000000">
            <w:pPr>
              <w:keepNext/>
              <w:keepLines/>
              <w:spacing w:after="0" w:line="240" w:lineRule="auto"/>
              <w:jc w:val="right"/>
            </w:pPr>
            <w:r>
              <w:rPr>
                <w:sz w:val="18"/>
              </w:rPr>
              <w:t>96,1</w:t>
            </w:r>
          </w:p>
        </w:tc>
      </w:tr>
    </w:tbl>
    <w:p w14:paraId="3E6B94BE" w14:textId="77777777" w:rsidR="00161CC3" w:rsidRDefault="00161CC3">
      <w:pPr>
        <w:spacing w:after="0"/>
      </w:pPr>
    </w:p>
    <w:p w14:paraId="40362240" w14:textId="77777777" w:rsidR="00161CC3" w:rsidRDefault="00000000">
      <w:r>
        <w:t>Ukupna sredstva ostvarena su u iznosu od 365.926,22 EUR, a odnose se na pomoći izravnanja za decentralizirane funkcije vatrogastva i osnovnoškolskog obrazovanja, a u odnosu na prethodnu godinu manja su za 3,9% budući da Grad ostvaruje veći iznos poreza na dohodak, a time raste i udio Grada u ukupnom iznosu minimalnog standarda za financiranje decentralizirane funkcije vatrogastva i osnovnoškolskog obrazovanja. </w:t>
      </w:r>
    </w:p>
    <w:p w14:paraId="77CCDA4C" w14:textId="77777777" w:rsidR="00161CC3" w:rsidRDefault="00000000">
      <w:r>
        <w:t> </w:t>
      </w:r>
    </w:p>
    <w:p w14:paraId="08DF88C7" w14:textId="77777777" w:rsidR="00161CC3" w:rsidRDefault="00161CC3"/>
    <w:p w14:paraId="028EF4D1" w14:textId="77777777" w:rsidR="00161CC3" w:rsidRDefault="00000000">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1D2D3E9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52A415"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6D8F47"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1E5282"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503C83"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2E4E06"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740D41" w14:textId="77777777" w:rsidR="00161CC3" w:rsidRDefault="00000000">
            <w:pPr>
              <w:keepNext/>
              <w:keepLines/>
              <w:spacing w:after="0" w:line="240" w:lineRule="auto"/>
              <w:jc w:val="center"/>
            </w:pPr>
            <w:r>
              <w:rPr>
                <w:b/>
                <w:sz w:val="18"/>
              </w:rPr>
              <w:t>Indeks (%)</w:t>
            </w:r>
          </w:p>
        </w:tc>
      </w:tr>
      <w:tr w:rsidR="00161CC3" w14:paraId="381C60B0" w14:textId="77777777">
        <w:tblPrEx>
          <w:tblCellMar>
            <w:top w:w="0" w:type="dxa"/>
            <w:bottom w:w="0" w:type="dxa"/>
          </w:tblCellMar>
        </w:tblPrEx>
        <w:trPr>
          <w:cantSplit/>
          <w:trHeight w:val="560"/>
        </w:trPr>
        <w:tc>
          <w:tcPr>
            <w:tcW w:w="700" w:type="dxa"/>
            <w:tcMar>
              <w:top w:w="0" w:type="dxa"/>
              <w:bottom w:w="0" w:type="dxa"/>
            </w:tcMar>
            <w:vAlign w:val="center"/>
          </w:tcPr>
          <w:p w14:paraId="6BC82297" w14:textId="77777777" w:rsidR="00161CC3" w:rsidRDefault="00000000">
            <w:pPr>
              <w:keepNext/>
              <w:keepLines/>
              <w:spacing w:after="0" w:line="240" w:lineRule="auto"/>
            </w:pPr>
            <w:r>
              <w:rPr>
                <w:sz w:val="18"/>
              </w:rPr>
              <w:t>636</w:t>
            </w:r>
          </w:p>
        </w:tc>
        <w:tc>
          <w:tcPr>
            <w:tcW w:w="3180" w:type="dxa"/>
            <w:tcMar>
              <w:top w:w="0" w:type="dxa"/>
              <w:bottom w:w="0" w:type="dxa"/>
            </w:tcMar>
            <w:vAlign w:val="center"/>
          </w:tcPr>
          <w:p w14:paraId="77E3E9F9" w14:textId="77777777" w:rsidR="00161CC3" w:rsidRDefault="00000000">
            <w:pPr>
              <w:keepNext/>
              <w:keepLines/>
              <w:spacing w:after="0" w:line="240" w:lineRule="auto"/>
            </w:pPr>
            <w:r>
              <w:rPr>
                <w:sz w:val="18"/>
              </w:rPr>
              <w:t>Pomoći proračunskim korisnicima iz proračuna koji im nije nadležan (šifre 6361+6362)</w:t>
            </w:r>
          </w:p>
        </w:tc>
        <w:tc>
          <w:tcPr>
            <w:tcW w:w="700" w:type="dxa"/>
            <w:tcMar>
              <w:top w:w="0" w:type="dxa"/>
              <w:bottom w:w="0" w:type="dxa"/>
            </w:tcMar>
            <w:vAlign w:val="center"/>
          </w:tcPr>
          <w:p w14:paraId="7D93DDAE" w14:textId="77777777" w:rsidR="00161CC3" w:rsidRDefault="00000000">
            <w:pPr>
              <w:keepNext/>
              <w:keepLines/>
              <w:spacing w:after="0" w:line="240" w:lineRule="auto"/>
            </w:pPr>
            <w:r>
              <w:rPr>
                <w:sz w:val="18"/>
              </w:rPr>
              <w:t>636</w:t>
            </w:r>
          </w:p>
        </w:tc>
        <w:tc>
          <w:tcPr>
            <w:tcW w:w="1860" w:type="dxa"/>
            <w:tcMar>
              <w:top w:w="0" w:type="dxa"/>
              <w:bottom w:w="0" w:type="dxa"/>
            </w:tcMar>
            <w:vAlign w:val="center"/>
          </w:tcPr>
          <w:p w14:paraId="2CAC4F87" w14:textId="77777777" w:rsidR="00161CC3" w:rsidRDefault="00000000">
            <w:pPr>
              <w:keepNext/>
              <w:keepLines/>
              <w:spacing w:after="0" w:line="240" w:lineRule="auto"/>
              <w:jc w:val="right"/>
            </w:pPr>
            <w:r>
              <w:rPr>
                <w:sz w:val="18"/>
              </w:rPr>
              <w:t>17.325,00</w:t>
            </w:r>
          </w:p>
        </w:tc>
        <w:tc>
          <w:tcPr>
            <w:tcW w:w="1860" w:type="dxa"/>
            <w:tcMar>
              <w:top w:w="0" w:type="dxa"/>
              <w:bottom w:w="0" w:type="dxa"/>
            </w:tcMar>
            <w:vAlign w:val="center"/>
          </w:tcPr>
          <w:p w14:paraId="6973B67F" w14:textId="77777777" w:rsidR="00161CC3" w:rsidRDefault="00000000">
            <w:pPr>
              <w:keepNext/>
              <w:keepLines/>
              <w:spacing w:after="0" w:line="240" w:lineRule="auto"/>
              <w:jc w:val="right"/>
            </w:pPr>
            <w:r>
              <w:rPr>
                <w:sz w:val="18"/>
              </w:rPr>
              <w:t>10.412,50</w:t>
            </w:r>
          </w:p>
        </w:tc>
        <w:tc>
          <w:tcPr>
            <w:tcW w:w="700" w:type="dxa"/>
            <w:tcMar>
              <w:top w:w="0" w:type="dxa"/>
              <w:bottom w:w="0" w:type="dxa"/>
            </w:tcMar>
            <w:vAlign w:val="center"/>
          </w:tcPr>
          <w:p w14:paraId="172D18C8" w14:textId="77777777" w:rsidR="00161CC3" w:rsidRDefault="00000000">
            <w:pPr>
              <w:keepNext/>
              <w:keepLines/>
              <w:spacing w:after="0" w:line="240" w:lineRule="auto"/>
              <w:jc w:val="right"/>
            </w:pPr>
            <w:r>
              <w:rPr>
                <w:sz w:val="18"/>
              </w:rPr>
              <w:t>60,1</w:t>
            </w:r>
          </w:p>
        </w:tc>
      </w:tr>
    </w:tbl>
    <w:p w14:paraId="33B603F9" w14:textId="77777777" w:rsidR="00161CC3" w:rsidRDefault="00161CC3">
      <w:pPr>
        <w:spacing w:after="0"/>
      </w:pPr>
    </w:p>
    <w:p w14:paraId="68C33E99" w14:textId="77777777" w:rsidR="00161CC3" w:rsidRDefault="00000000">
      <w:r>
        <w:t>Sredstva su realizirana u iznosu od 10.412,50 EUR, a odnose se na tekuće pomoći iz državnog proračuna proračunskim korisnicima za projekt RAST.</w:t>
      </w:r>
    </w:p>
    <w:p w14:paraId="254556F0" w14:textId="77777777" w:rsidR="00161CC3" w:rsidRDefault="00000000">
      <w:r>
        <w:t>Ostvareno je 39,9 % manje u odnosu na prethodnu godinu s obzirom da je u 2024. godini uplaćena razlika za školsku godinu 2023/2024, a krajem godine i predujam za školsku godinu 2024/2025, a koji se cjelokupni iznos knjižio na prihod, dok se predujam uplaćen u 2025. godini (za školsku godinu 2025./2026.), sukladno novim naputcima, knjižio na obavezu, a tek dio tog iznosa na prihod.</w:t>
      </w:r>
    </w:p>
    <w:p w14:paraId="7025097B" w14:textId="77777777" w:rsidR="00161CC3" w:rsidRDefault="00161CC3"/>
    <w:p w14:paraId="57E99AC9" w14:textId="77777777" w:rsidR="00161CC3"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419E92A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7E3E876"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59CFBC"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83231C"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E6AB68"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4AA481"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9595BE" w14:textId="77777777" w:rsidR="00161CC3" w:rsidRDefault="00000000">
            <w:pPr>
              <w:keepNext/>
              <w:keepLines/>
              <w:spacing w:after="0" w:line="240" w:lineRule="auto"/>
              <w:jc w:val="center"/>
            </w:pPr>
            <w:r>
              <w:rPr>
                <w:b/>
                <w:sz w:val="18"/>
              </w:rPr>
              <w:t>Indeks (%)</w:t>
            </w:r>
          </w:p>
        </w:tc>
      </w:tr>
      <w:tr w:rsidR="00161CC3" w14:paraId="575383E8" w14:textId="77777777">
        <w:tblPrEx>
          <w:tblCellMar>
            <w:top w:w="0" w:type="dxa"/>
            <w:bottom w:w="0" w:type="dxa"/>
          </w:tblCellMar>
        </w:tblPrEx>
        <w:trPr>
          <w:cantSplit/>
          <w:trHeight w:val="560"/>
        </w:trPr>
        <w:tc>
          <w:tcPr>
            <w:tcW w:w="700" w:type="dxa"/>
            <w:tcMar>
              <w:top w:w="0" w:type="dxa"/>
              <w:bottom w:w="0" w:type="dxa"/>
            </w:tcMar>
            <w:vAlign w:val="center"/>
          </w:tcPr>
          <w:p w14:paraId="7B6D21F3" w14:textId="77777777" w:rsidR="00161CC3" w:rsidRDefault="00000000">
            <w:pPr>
              <w:keepNext/>
              <w:keepLines/>
              <w:spacing w:after="0" w:line="240" w:lineRule="auto"/>
            </w:pPr>
            <w:r>
              <w:rPr>
                <w:sz w:val="18"/>
              </w:rPr>
              <w:t>638</w:t>
            </w:r>
          </w:p>
        </w:tc>
        <w:tc>
          <w:tcPr>
            <w:tcW w:w="3180" w:type="dxa"/>
            <w:tcMar>
              <w:top w:w="0" w:type="dxa"/>
              <w:bottom w:w="0" w:type="dxa"/>
            </w:tcMar>
            <w:vAlign w:val="center"/>
          </w:tcPr>
          <w:p w14:paraId="24BC6F33" w14:textId="77777777" w:rsidR="00161CC3" w:rsidRDefault="00000000">
            <w:pPr>
              <w:keepNext/>
              <w:keepLines/>
              <w:spacing w:after="0" w:line="240" w:lineRule="auto"/>
            </w:pPr>
            <w:r>
              <w:rPr>
                <w:sz w:val="18"/>
              </w:rPr>
              <w:t>Pomoći temeljem prijenosa EU sredstava (šifre 6381+6382)</w:t>
            </w:r>
          </w:p>
        </w:tc>
        <w:tc>
          <w:tcPr>
            <w:tcW w:w="700" w:type="dxa"/>
            <w:tcMar>
              <w:top w:w="0" w:type="dxa"/>
              <w:bottom w:w="0" w:type="dxa"/>
            </w:tcMar>
            <w:vAlign w:val="center"/>
          </w:tcPr>
          <w:p w14:paraId="6C02BE2F" w14:textId="77777777" w:rsidR="00161CC3" w:rsidRDefault="00000000">
            <w:pPr>
              <w:keepNext/>
              <w:keepLines/>
              <w:spacing w:after="0" w:line="240" w:lineRule="auto"/>
            </w:pPr>
            <w:r>
              <w:rPr>
                <w:sz w:val="18"/>
              </w:rPr>
              <w:t>638</w:t>
            </w:r>
          </w:p>
        </w:tc>
        <w:tc>
          <w:tcPr>
            <w:tcW w:w="1860" w:type="dxa"/>
            <w:tcMar>
              <w:top w:w="0" w:type="dxa"/>
              <w:bottom w:w="0" w:type="dxa"/>
            </w:tcMar>
            <w:vAlign w:val="center"/>
          </w:tcPr>
          <w:p w14:paraId="4046F5EE" w14:textId="77777777" w:rsidR="00161CC3" w:rsidRDefault="00000000">
            <w:pPr>
              <w:keepNext/>
              <w:keepLines/>
              <w:spacing w:after="0" w:line="240" w:lineRule="auto"/>
              <w:jc w:val="right"/>
            </w:pPr>
            <w:r>
              <w:rPr>
                <w:sz w:val="18"/>
              </w:rPr>
              <w:t>356.774,04</w:t>
            </w:r>
          </w:p>
        </w:tc>
        <w:tc>
          <w:tcPr>
            <w:tcW w:w="1860" w:type="dxa"/>
            <w:tcMar>
              <w:top w:w="0" w:type="dxa"/>
              <w:bottom w:w="0" w:type="dxa"/>
            </w:tcMar>
            <w:vAlign w:val="center"/>
          </w:tcPr>
          <w:p w14:paraId="7D5571D1" w14:textId="77777777" w:rsidR="00161CC3" w:rsidRDefault="00000000">
            <w:pPr>
              <w:keepNext/>
              <w:keepLines/>
              <w:spacing w:after="0" w:line="240" w:lineRule="auto"/>
              <w:jc w:val="right"/>
            </w:pPr>
            <w:r>
              <w:rPr>
                <w:sz w:val="18"/>
              </w:rPr>
              <w:t>61.963,32</w:t>
            </w:r>
          </w:p>
        </w:tc>
        <w:tc>
          <w:tcPr>
            <w:tcW w:w="700" w:type="dxa"/>
            <w:tcMar>
              <w:top w:w="0" w:type="dxa"/>
              <w:bottom w:w="0" w:type="dxa"/>
            </w:tcMar>
            <w:vAlign w:val="center"/>
          </w:tcPr>
          <w:p w14:paraId="51FC4E45" w14:textId="77777777" w:rsidR="00161CC3" w:rsidRDefault="00000000">
            <w:pPr>
              <w:keepNext/>
              <w:keepLines/>
              <w:spacing w:after="0" w:line="240" w:lineRule="auto"/>
              <w:jc w:val="right"/>
            </w:pPr>
            <w:r>
              <w:rPr>
                <w:sz w:val="18"/>
              </w:rPr>
              <w:t>17,4</w:t>
            </w:r>
          </w:p>
        </w:tc>
      </w:tr>
    </w:tbl>
    <w:p w14:paraId="39F84920" w14:textId="77777777" w:rsidR="00161CC3" w:rsidRDefault="00161CC3">
      <w:pPr>
        <w:spacing w:after="0"/>
      </w:pPr>
    </w:p>
    <w:p w14:paraId="051A3568" w14:textId="77777777" w:rsidR="00161CC3" w:rsidRDefault="00000000">
      <w:r>
        <w:t xml:space="preserve">U ovoj podskupini ostvareni su prihodi u iznosu od 61.963,32EUR, od čega se iznos od 59.004,16 EUR odnosi na tekuće pomoći temeljem prijenosa EU sredstava (85%) za financiranje plaća pomoćnika u nastavi (projekt RAST). Primjetno je smanjenje prihoda ostvarenih po istoj osnovi u odnosu na prethodnu godinu za 54,3% budući da je u 2024. godini, pored uplate razlike za školsku godinu 2023/2024, krajem godine izvršena i uplata predujma za školsku godinu 2024/2025, a koji se cjelokupni iznos knjižio na prihod, dok se predujam uplaćen u 2025. godini (za školsku godinu 2025./2026.), sukladno novim naputcima, knjižio na obavezu, a tek dio tog iznosa na prihod. Također, prethodne je godine u istom odjeljku ostvaren i prihod po osnovi realiziranog projekta </w:t>
      </w:r>
      <w:proofErr w:type="spellStart"/>
      <w:r>
        <w:t>Moremo</w:t>
      </w:r>
      <w:proofErr w:type="spellEnd"/>
      <w:r>
        <w:t xml:space="preserve"> brinuti o moru.</w:t>
      </w:r>
    </w:p>
    <w:p w14:paraId="597F9605" w14:textId="77777777" w:rsidR="00161CC3" w:rsidRDefault="00000000">
      <w:r>
        <w:t>Preostali iznos od 2.959,16 EUR odnosi se na uplatu po odobrenom ZNS-u po Pilot projektu razvoja zelene infrastrukture i/ili kružnog gospodarenja prostorom i zgradama te je u istom odjeljku primjetno značajno smanjenje u odnosu na prethodnu godinu i to za 98,7% budući da su prethodne godine ostvareni prihodi po osnovi realiziranih projekata opremanja školske kuhinje i dječjih igrališta u Labinu i Rapcu.</w:t>
      </w:r>
    </w:p>
    <w:p w14:paraId="0EAB2359" w14:textId="77777777" w:rsidR="00161CC3" w:rsidRDefault="00000000">
      <w:r>
        <w:t> </w:t>
      </w:r>
    </w:p>
    <w:p w14:paraId="5677C587" w14:textId="77777777" w:rsidR="00161CC3" w:rsidRDefault="00161CC3"/>
    <w:p w14:paraId="4BE1AEB9" w14:textId="77777777" w:rsidR="00161CC3" w:rsidRDefault="00000000">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6023A5C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F8D184"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8A746C"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A100F0"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ADEFBF"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D35644"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A14D69" w14:textId="77777777" w:rsidR="00161CC3" w:rsidRDefault="00000000">
            <w:pPr>
              <w:keepNext/>
              <w:keepLines/>
              <w:spacing w:after="0" w:line="240" w:lineRule="auto"/>
              <w:jc w:val="center"/>
            </w:pPr>
            <w:r>
              <w:rPr>
                <w:b/>
                <w:sz w:val="18"/>
              </w:rPr>
              <w:t>Indeks (%)</w:t>
            </w:r>
          </w:p>
        </w:tc>
      </w:tr>
      <w:tr w:rsidR="00161CC3" w14:paraId="2F649112" w14:textId="77777777">
        <w:tblPrEx>
          <w:tblCellMar>
            <w:top w:w="0" w:type="dxa"/>
            <w:bottom w:w="0" w:type="dxa"/>
          </w:tblCellMar>
        </w:tblPrEx>
        <w:trPr>
          <w:cantSplit/>
          <w:trHeight w:val="560"/>
        </w:trPr>
        <w:tc>
          <w:tcPr>
            <w:tcW w:w="700" w:type="dxa"/>
            <w:tcMar>
              <w:top w:w="0" w:type="dxa"/>
              <w:bottom w:w="0" w:type="dxa"/>
            </w:tcMar>
            <w:vAlign w:val="center"/>
          </w:tcPr>
          <w:p w14:paraId="529B03FA" w14:textId="77777777" w:rsidR="00161CC3" w:rsidRDefault="00000000">
            <w:pPr>
              <w:keepNext/>
              <w:keepLines/>
              <w:spacing w:after="0" w:line="240" w:lineRule="auto"/>
            </w:pPr>
            <w:r>
              <w:rPr>
                <w:sz w:val="18"/>
              </w:rPr>
              <w:t>641</w:t>
            </w:r>
          </w:p>
        </w:tc>
        <w:tc>
          <w:tcPr>
            <w:tcW w:w="3180" w:type="dxa"/>
            <w:tcMar>
              <w:top w:w="0" w:type="dxa"/>
              <w:bottom w:w="0" w:type="dxa"/>
            </w:tcMar>
            <w:vAlign w:val="center"/>
          </w:tcPr>
          <w:p w14:paraId="1FF47B5E" w14:textId="77777777" w:rsidR="00161CC3" w:rsidRDefault="00000000">
            <w:pPr>
              <w:keepNext/>
              <w:keepLines/>
              <w:spacing w:after="0" w:line="240" w:lineRule="auto"/>
            </w:pPr>
            <w:r>
              <w:rPr>
                <w:sz w:val="18"/>
              </w:rPr>
              <w:t>Prihodi od financijske imovine (šifre 6412 do 6419)</w:t>
            </w:r>
          </w:p>
        </w:tc>
        <w:tc>
          <w:tcPr>
            <w:tcW w:w="700" w:type="dxa"/>
            <w:tcMar>
              <w:top w:w="0" w:type="dxa"/>
              <w:bottom w:w="0" w:type="dxa"/>
            </w:tcMar>
            <w:vAlign w:val="center"/>
          </w:tcPr>
          <w:p w14:paraId="012D8E0F" w14:textId="77777777" w:rsidR="00161CC3" w:rsidRDefault="00000000">
            <w:pPr>
              <w:keepNext/>
              <w:keepLines/>
              <w:spacing w:after="0" w:line="240" w:lineRule="auto"/>
            </w:pPr>
            <w:r>
              <w:rPr>
                <w:sz w:val="18"/>
              </w:rPr>
              <w:t>641</w:t>
            </w:r>
          </w:p>
        </w:tc>
        <w:tc>
          <w:tcPr>
            <w:tcW w:w="1860" w:type="dxa"/>
            <w:tcMar>
              <w:top w:w="0" w:type="dxa"/>
              <w:bottom w:w="0" w:type="dxa"/>
            </w:tcMar>
            <w:vAlign w:val="center"/>
          </w:tcPr>
          <w:p w14:paraId="4BAF7ECF" w14:textId="77777777" w:rsidR="00161CC3" w:rsidRDefault="00000000">
            <w:pPr>
              <w:keepNext/>
              <w:keepLines/>
              <w:spacing w:after="0" w:line="240" w:lineRule="auto"/>
              <w:jc w:val="right"/>
            </w:pPr>
            <w:r>
              <w:rPr>
                <w:sz w:val="18"/>
              </w:rPr>
              <w:t>50.201,04</w:t>
            </w:r>
          </w:p>
        </w:tc>
        <w:tc>
          <w:tcPr>
            <w:tcW w:w="1860" w:type="dxa"/>
            <w:tcMar>
              <w:top w:w="0" w:type="dxa"/>
              <w:bottom w:w="0" w:type="dxa"/>
            </w:tcMar>
            <w:vAlign w:val="center"/>
          </w:tcPr>
          <w:p w14:paraId="26A0AF3B" w14:textId="77777777" w:rsidR="00161CC3" w:rsidRDefault="00000000">
            <w:pPr>
              <w:keepNext/>
              <w:keepLines/>
              <w:spacing w:after="0" w:line="240" w:lineRule="auto"/>
              <w:jc w:val="right"/>
            </w:pPr>
            <w:r>
              <w:rPr>
                <w:sz w:val="18"/>
              </w:rPr>
              <w:t>69.044,74</w:t>
            </w:r>
          </w:p>
        </w:tc>
        <w:tc>
          <w:tcPr>
            <w:tcW w:w="700" w:type="dxa"/>
            <w:tcMar>
              <w:top w:w="0" w:type="dxa"/>
              <w:bottom w:w="0" w:type="dxa"/>
            </w:tcMar>
            <w:vAlign w:val="center"/>
          </w:tcPr>
          <w:p w14:paraId="7D6F3C2D" w14:textId="77777777" w:rsidR="00161CC3" w:rsidRDefault="00000000">
            <w:pPr>
              <w:keepNext/>
              <w:keepLines/>
              <w:spacing w:after="0" w:line="240" w:lineRule="auto"/>
              <w:jc w:val="right"/>
            </w:pPr>
            <w:r>
              <w:rPr>
                <w:sz w:val="18"/>
              </w:rPr>
              <w:t>137,5</w:t>
            </w:r>
          </w:p>
        </w:tc>
      </w:tr>
    </w:tbl>
    <w:p w14:paraId="401E29CB" w14:textId="77777777" w:rsidR="00161CC3" w:rsidRDefault="00161CC3">
      <w:pPr>
        <w:spacing w:after="0"/>
      </w:pPr>
    </w:p>
    <w:p w14:paraId="60362ACF" w14:textId="77777777" w:rsidR="00161CC3" w:rsidRDefault="00000000">
      <w:r>
        <w:t>Prihodi od financijske imovine odnose se na prihode od kamata po vrijednosnim papirima, na oročena sredstva i depozite po viđenju, od zateznih kamata, te prihode od dividendi, a ostvareni su u ukupnom iznosu od 69.044,74 EUR, što je za 18.843,70 EUR ili 37,5% više nego prethodne godine. Navedeno povećanje se prvenstveno odnosi na povećanje prihoda od zateznih kamata i to zbog ostvarene naplate dospjelih potraživanja, ali i na prihode po osnovi kamata po vrijednosnim papirima (obveznice-stara devizna štednja), dok je kod prihoda od kamata na oročene depozite primjetno smanjenje budući da su u 2025. godini oročavana sredstva u značajno manjem iznosu i to samo u prvoj polovici godine, dok u drugom dijelu godine nisu oročavana sredstva.</w:t>
      </w:r>
    </w:p>
    <w:p w14:paraId="19152DC7" w14:textId="77777777" w:rsidR="00161CC3" w:rsidRDefault="00000000">
      <w:r>
        <w:t> </w:t>
      </w:r>
    </w:p>
    <w:p w14:paraId="5C89F851" w14:textId="77777777" w:rsidR="00161CC3" w:rsidRDefault="00161CC3"/>
    <w:p w14:paraId="34083124" w14:textId="77777777" w:rsidR="00161CC3"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35F12F6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51F344"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EE5298"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E3515C"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B4FC7B"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46CE27"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5F9558" w14:textId="77777777" w:rsidR="00161CC3" w:rsidRDefault="00000000">
            <w:pPr>
              <w:keepNext/>
              <w:keepLines/>
              <w:spacing w:after="0" w:line="240" w:lineRule="auto"/>
              <w:jc w:val="center"/>
            </w:pPr>
            <w:r>
              <w:rPr>
                <w:b/>
                <w:sz w:val="18"/>
              </w:rPr>
              <w:t>Indeks (%)</w:t>
            </w:r>
          </w:p>
        </w:tc>
      </w:tr>
      <w:tr w:rsidR="00161CC3" w14:paraId="236514DE" w14:textId="77777777">
        <w:tblPrEx>
          <w:tblCellMar>
            <w:top w:w="0" w:type="dxa"/>
            <w:bottom w:w="0" w:type="dxa"/>
          </w:tblCellMar>
        </w:tblPrEx>
        <w:trPr>
          <w:cantSplit/>
          <w:trHeight w:val="560"/>
        </w:trPr>
        <w:tc>
          <w:tcPr>
            <w:tcW w:w="700" w:type="dxa"/>
            <w:tcMar>
              <w:top w:w="0" w:type="dxa"/>
              <w:bottom w:w="0" w:type="dxa"/>
            </w:tcMar>
            <w:vAlign w:val="center"/>
          </w:tcPr>
          <w:p w14:paraId="00B370FD" w14:textId="77777777" w:rsidR="00161CC3" w:rsidRDefault="00000000">
            <w:pPr>
              <w:keepNext/>
              <w:keepLines/>
              <w:spacing w:after="0" w:line="240" w:lineRule="auto"/>
            </w:pPr>
            <w:r>
              <w:rPr>
                <w:sz w:val="18"/>
              </w:rPr>
              <w:t>642</w:t>
            </w:r>
          </w:p>
        </w:tc>
        <w:tc>
          <w:tcPr>
            <w:tcW w:w="3180" w:type="dxa"/>
            <w:tcMar>
              <w:top w:w="0" w:type="dxa"/>
              <w:bottom w:w="0" w:type="dxa"/>
            </w:tcMar>
            <w:vAlign w:val="center"/>
          </w:tcPr>
          <w:p w14:paraId="7F0237BA" w14:textId="77777777" w:rsidR="00161CC3" w:rsidRDefault="00000000">
            <w:pPr>
              <w:keepNext/>
              <w:keepLines/>
              <w:spacing w:after="0" w:line="240" w:lineRule="auto"/>
            </w:pPr>
            <w:r>
              <w:rPr>
                <w:sz w:val="18"/>
              </w:rPr>
              <w:t>Prihodi od nefinancijske imovine (šifre 6421 do 6429)</w:t>
            </w:r>
          </w:p>
        </w:tc>
        <w:tc>
          <w:tcPr>
            <w:tcW w:w="700" w:type="dxa"/>
            <w:tcMar>
              <w:top w:w="0" w:type="dxa"/>
              <w:bottom w:w="0" w:type="dxa"/>
            </w:tcMar>
            <w:vAlign w:val="center"/>
          </w:tcPr>
          <w:p w14:paraId="1320E604" w14:textId="77777777" w:rsidR="00161CC3" w:rsidRDefault="00000000">
            <w:pPr>
              <w:keepNext/>
              <w:keepLines/>
              <w:spacing w:after="0" w:line="240" w:lineRule="auto"/>
            </w:pPr>
            <w:r>
              <w:rPr>
                <w:sz w:val="18"/>
              </w:rPr>
              <w:t>642</w:t>
            </w:r>
          </w:p>
        </w:tc>
        <w:tc>
          <w:tcPr>
            <w:tcW w:w="1860" w:type="dxa"/>
            <w:tcMar>
              <w:top w:w="0" w:type="dxa"/>
              <w:bottom w:w="0" w:type="dxa"/>
            </w:tcMar>
            <w:vAlign w:val="center"/>
          </w:tcPr>
          <w:p w14:paraId="7024E7D0" w14:textId="77777777" w:rsidR="00161CC3" w:rsidRDefault="00000000">
            <w:pPr>
              <w:keepNext/>
              <w:keepLines/>
              <w:spacing w:after="0" w:line="240" w:lineRule="auto"/>
              <w:jc w:val="right"/>
            </w:pPr>
            <w:r>
              <w:rPr>
                <w:sz w:val="18"/>
              </w:rPr>
              <w:t>1.219.803,17</w:t>
            </w:r>
          </w:p>
        </w:tc>
        <w:tc>
          <w:tcPr>
            <w:tcW w:w="1860" w:type="dxa"/>
            <w:tcMar>
              <w:top w:w="0" w:type="dxa"/>
              <w:bottom w:w="0" w:type="dxa"/>
            </w:tcMar>
            <w:vAlign w:val="center"/>
          </w:tcPr>
          <w:p w14:paraId="52DE17E3" w14:textId="77777777" w:rsidR="00161CC3" w:rsidRDefault="00000000">
            <w:pPr>
              <w:keepNext/>
              <w:keepLines/>
              <w:spacing w:after="0" w:line="240" w:lineRule="auto"/>
              <w:jc w:val="right"/>
            </w:pPr>
            <w:r>
              <w:rPr>
                <w:sz w:val="18"/>
              </w:rPr>
              <w:t>1.026.475,70</w:t>
            </w:r>
          </w:p>
        </w:tc>
        <w:tc>
          <w:tcPr>
            <w:tcW w:w="700" w:type="dxa"/>
            <w:tcMar>
              <w:top w:w="0" w:type="dxa"/>
              <w:bottom w:w="0" w:type="dxa"/>
            </w:tcMar>
            <w:vAlign w:val="center"/>
          </w:tcPr>
          <w:p w14:paraId="2D474D16" w14:textId="77777777" w:rsidR="00161CC3" w:rsidRDefault="00000000">
            <w:pPr>
              <w:keepNext/>
              <w:keepLines/>
              <w:spacing w:after="0" w:line="240" w:lineRule="auto"/>
              <w:jc w:val="right"/>
            </w:pPr>
            <w:r>
              <w:rPr>
                <w:sz w:val="18"/>
              </w:rPr>
              <w:t>84,2</w:t>
            </w:r>
          </w:p>
        </w:tc>
      </w:tr>
    </w:tbl>
    <w:p w14:paraId="77DE543F" w14:textId="77777777" w:rsidR="00161CC3" w:rsidRDefault="00161CC3">
      <w:pPr>
        <w:spacing w:after="0"/>
      </w:pPr>
    </w:p>
    <w:p w14:paraId="2752FFA8" w14:textId="77777777" w:rsidR="00161CC3" w:rsidRDefault="00000000">
      <w:r>
        <w:t>U odnosu na prethodnu godinu zabilježen je pad prihoda u ovoj podskupini za -193.327,47 EUR, odnosno 15,8%. </w:t>
      </w:r>
    </w:p>
    <w:p w14:paraId="362692CB" w14:textId="77777777" w:rsidR="00161CC3" w:rsidRDefault="00000000">
      <w:r>
        <w:t>Najznačajnije smanjenje primjetno je kod prihoda od zakupa i iznajmljivanja imovine, a u najvećoj se mjeri odnosi na prihode od zakupa turističkog zemljišta koji su prihodi prethodne godine ostvareni za 2024. godinu, ali i za prijelazno razdoblje, sve sukladno Uredbi o uređenju zakupa na turističkom zemljištu na kojemu su izgrađeni hoteli i turistička naselja.</w:t>
      </w:r>
    </w:p>
    <w:p w14:paraId="00DA4985" w14:textId="77777777" w:rsidR="00161CC3" w:rsidRDefault="00000000">
      <w:r>
        <w:t>Također je do većeg smanjenja došlo kod prihoda od zakupa gradske tržnice budući je krajem 2024. godine donesena odluka o smanjenju zakupa.</w:t>
      </w:r>
    </w:p>
    <w:p w14:paraId="514329A4" w14:textId="77777777" w:rsidR="00161CC3" w:rsidRDefault="00000000">
      <w:r>
        <w:t>Ostali prihodi u ovoj podskupini odnose se na naknade za koncesije u iznosu od 122.622,75 EUR, na prihode od korištenja prostora termoelektrane 164.590,77 EUR, na prihode od zakupa i iznajmljivanja imovine (bez zakupa turističkog zemljišta i zakupa Gradske tržnice) u iznosu od 603.673,47 EUR, prihode od spomeničke rente u iznosu od 1.183,81 EUR, te na prihode od naknada za zadržavanje nezakonito izgrađene zgrade u prostoru u iznosu od 3.889,73 EUR.</w:t>
      </w:r>
    </w:p>
    <w:p w14:paraId="18A14682" w14:textId="77777777" w:rsidR="00161CC3" w:rsidRDefault="00000000">
      <w:r>
        <w:t> </w:t>
      </w:r>
    </w:p>
    <w:p w14:paraId="7E1AA491" w14:textId="77777777" w:rsidR="00161CC3" w:rsidRDefault="00161CC3"/>
    <w:p w14:paraId="5F28497B" w14:textId="77777777" w:rsidR="00161CC3" w:rsidRDefault="00000000">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70C232B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97E8CC"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9CAB048"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D96949"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A8F907"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663D68"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4EC401" w14:textId="77777777" w:rsidR="00161CC3" w:rsidRDefault="00000000">
            <w:pPr>
              <w:keepNext/>
              <w:keepLines/>
              <w:spacing w:after="0" w:line="240" w:lineRule="auto"/>
              <w:jc w:val="center"/>
            </w:pPr>
            <w:r>
              <w:rPr>
                <w:b/>
                <w:sz w:val="18"/>
              </w:rPr>
              <w:t>Indeks (%)</w:t>
            </w:r>
          </w:p>
        </w:tc>
      </w:tr>
      <w:tr w:rsidR="00161CC3" w14:paraId="17D3EEEA" w14:textId="77777777">
        <w:tblPrEx>
          <w:tblCellMar>
            <w:top w:w="0" w:type="dxa"/>
            <w:bottom w:w="0" w:type="dxa"/>
          </w:tblCellMar>
        </w:tblPrEx>
        <w:trPr>
          <w:cantSplit/>
          <w:trHeight w:val="560"/>
        </w:trPr>
        <w:tc>
          <w:tcPr>
            <w:tcW w:w="700" w:type="dxa"/>
            <w:tcMar>
              <w:top w:w="0" w:type="dxa"/>
              <w:bottom w:w="0" w:type="dxa"/>
            </w:tcMar>
            <w:vAlign w:val="center"/>
          </w:tcPr>
          <w:p w14:paraId="65200326" w14:textId="77777777" w:rsidR="00161CC3" w:rsidRDefault="00000000">
            <w:pPr>
              <w:keepNext/>
              <w:keepLines/>
              <w:spacing w:after="0" w:line="240" w:lineRule="auto"/>
            </w:pPr>
            <w:r>
              <w:rPr>
                <w:sz w:val="18"/>
              </w:rPr>
              <w:t>651</w:t>
            </w:r>
          </w:p>
        </w:tc>
        <w:tc>
          <w:tcPr>
            <w:tcW w:w="3180" w:type="dxa"/>
            <w:tcMar>
              <w:top w:w="0" w:type="dxa"/>
              <w:bottom w:w="0" w:type="dxa"/>
            </w:tcMar>
            <w:vAlign w:val="center"/>
          </w:tcPr>
          <w:p w14:paraId="1825A80B" w14:textId="77777777" w:rsidR="00161CC3" w:rsidRDefault="00000000">
            <w:pPr>
              <w:keepNext/>
              <w:keepLines/>
              <w:spacing w:after="0" w:line="240" w:lineRule="auto"/>
            </w:pPr>
            <w:r>
              <w:rPr>
                <w:sz w:val="18"/>
              </w:rPr>
              <w:t>Upravne i administrativne pristojbe (šifre 6511 do 6514)</w:t>
            </w:r>
          </w:p>
        </w:tc>
        <w:tc>
          <w:tcPr>
            <w:tcW w:w="700" w:type="dxa"/>
            <w:tcMar>
              <w:top w:w="0" w:type="dxa"/>
              <w:bottom w:w="0" w:type="dxa"/>
            </w:tcMar>
            <w:vAlign w:val="center"/>
          </w:tcPr>
          <w:p w14:paraId="77AC5C4C" w14:textId="77777777" w:rsidR="00161CC3" w:rsidRDefault="00000000">
            <w:pPr>
              <w:keepNext/>
              <w:keepLines/>
              <w:spacing w:after="0" w:line="240" w:lineRule="auto"/>
            </w:pPr>
            <w:r>
              <w:rPr>
                <w:sz w:val="18"/>
              </w:rPr>
              <w:t>651</w:t>
            </w:r>
          </w:p>
        </w:tc>
        <w:tc>
          <w:tcPr>
            <w:tcW w:w="1860" w:type="dxa"/>
            <w:tcMar>
              <w:top w:w="0" w:type="dxa"/>
              <w:bottom w:w="0" w:type="dxa"/>
            </w:tcMar>
            <w:vAlign w:val="center"/>
          </w:tcPr>
          <w:p w14:paraId="2A5DD98E" w14:textId="77777777" w:rsidR="00161CC3" w:rsidRDefault="00000000">
            <w:pPr>
              <w:keepNext/>
              <w:keepLines/>
              <w:spacing w:after="0" w:line="240" w:lineRule="auto"/>
              <w:jc w:val="right"/>
            </w:pPr>
            <w:r>
              <w:rPr>
                <w:sz w:val="18"/>
              </w:rPr>
              <w:t>307.020,48</w:t>
            </w:r>
          </w:p>
        </w:tc>
        <w:tc>
          <w:tcPr>
            <w:tcW w:w="1860" w:type="dxa"/>
            <w:tcMar>
              <w:top w:w="0" w:type="dxa"/>
              <w:bottom w:w="0" w:type="dxa"/>
            </w:tcMar>
            <w:vAlign w:val="center"/>
          </w:tcPr>
          <w:p w14:paraId="6D6FDF7F" w14:textId="77777777" w:rsidR="00161CC3" w:rsidRDefault="00000000">
            <w:pPr>
              <w:keepNext/>
              <w:keepLines/>
              <w:spacing w:after="0" w:line="240" w:lineRule="auto"/>
              <w:jc w:val="right"/>
            </w:pPr>
            <w:r>
              <w:rPr>
                <w:sz w:val="18"/>
              </w:rPr>
              <w:t>303.179,31</w:t>
            </w:r>
          </w:p>
        </w:tc>
        <w:tc>
          <w:tcPr>
            <w:tcW w:w="700" w:type="dxa"/>
            <w:tcMar>
              <w:top w:w="0" w:type="dxa"/>
              <w:bottom w:w="0" w:type="dxa"/>
            </w:tcMar>
            <w:vAlign w:val="center"/>
          </w:tcPr>
          <w:p w14:paraId="77DDECD7" w14:textId="77777777" w:rsidR="00161CC3" w:rsidRDefault="00000000">
            <w:pPr>
              <w:keepNext/>
              <w:keepLines/>
              <w:spacing w:after="0" w:line="240" w:lineRule="auto"/>
              <w:jc w:val="right"/>
            </w:pPr>
            <w:r>
              <w:rPr>
                <w:sz w:val="18"/>
              </w:rPr>
              <w:t>98,7</w:t>
            </w:r>
          </w:p>
        </w:tc>
      </w:tr>
    </w:tbl>
    <w:p w14:paraId="388155C2" w14:textId="77777777" w:rsidR="00161CC3" w:rsidRDefault="00161CC3">
      <w:pPr>
        <w:spacing w:after="0"/>
      </w:pPr>
    </w:p>
    <w:p w14:paraId="54C3C9A5" w14:textId="77777777" w:rsidR="00161CC3" w:rsidRDefault="00000000">
      <w:r>
        <w:t>U odnosu na prethodnu godinu prihodi su ostali gotovo na istoj razini, odnosno smanjeni su za 1,3%. Unutar podskupine zabilježen je pad gradskih upravnih pristojbi i naknada i prihoda od prodaje biljega.</w:t>
      </w:r>
    </w:p>
    <w:p w14:paraId="761B946E" w14:textId="77777777" w:rsidR="00161CC3" w:rsidRDefault="00000000">
      <w:r>
        <w:t> </w:t>
      </w:r>
    </w:p>
    <w:p w14:paraId="1B1A49D5" w14:textId="77777777" w:rsidR="00161CC3" w:rsidRDefault="00161CC3"/>
    <w:p w14:paraId="5A8F2C3F" w14:textId="77777777" w:rsidR="00161CC3"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4B201A9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A14BBF"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E3B693"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E01D97"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DBEAD1"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CC4045"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CA8A15" w14:textId="77777777" w:rsidR="00161CC3" w:rsidRDefault="00000000">
            <w:pPr>
              <w:keepNext/>
              <w:keepLines/>
              <w:spacing w:after="0" w:line="240" w:lineRule="auto"/>
              <w:jc w:val="center"/>
            </w:pPr>
            <w:r>
              <w:rPr>
                <w:b/>
                <w:sz w:val="18"/>
              </w:rPr>
              <w:t>Indeks (%)</w:t>
            </w:r>
          </w:p>
        </w:tc>
      </w:tr>
      <w:tr w:rsidR="00161CC3" w14:paraId="568B3937" w14:textId="77777777">
        <w:tblPrEx>
          <w:tblCellMar>
            <w:top w:w="0" w:type="dxa"/>
            <w:bottom w:w="0" w:type="dxa"/>
          </w:tblCellMar>
        </w:tblPrEx>
        <w:trPr>
          <w:cantSplit/>
          <w:trHeight w:val="560"/>
        </w:trPr>
        <w:tc>
          <w:tcPr>
            <w:tcW w:w="700" w:type="dxa"/>
            <w:tcMar>
              <w:top w:w="0" w:type="dxa"/>
              <w:bottom w:w="0" w:type="dxa"/>
            </w:tcMar>
            <w:vAlign w:val="center"/>
          </w:tcPr>
          <w:p w14:paraId="29A8562A" w14:textId="77777777" w:rsidR="00161CC3" w:rsidRDefault="00000000">
            <w:pPr>
              <w:keepNext/>
              <w:keepLines/>
              <w:spacing w:after="0" w:line="240" w:lineRule="auto"/>
            </w:pPr>
            <w:r>
              <w:rPr>
                <w:sz w:val="18"/>
              </w:rPr>
              <w:t>652</w:t>
            </w:r>
          </w:p>
        </w:tc>
        <w:tc>
          <w:tcPr>
            <w:tcW w:w="3180" w:type="dxa"/>
            <w:tcMar>
              <w:top w:w="0" w:type="dxa"/>
              <w:bottom w:w="0" w:type="dxa"/>
            </w:tcMar>
            <w:vAlign w:val="center"/>
          </w:tcPr>
          <w:p w14:paraId="39FE5E27" w14:textId="77777777" w:rsidR="00161CC3" w:rsidRDefault="00000000">
            <w:pPr>
              <w:keepNext/>
              <w:keepLines/>
              <w:spacing w:after="0" w:line="240" w:lineRule="auto"/>
            </w:pPr>
            <w:r>
              <w:rPr>
                <w:sz w:val="18"/>
              </w:rPr>
              <w:t>Prihodi po posebnim propisima (šifre 6521 do 6528)</w:t>
            </w:r>
          </w:p>
        </w:tc>
        <w:tc>
          <w:tcPr>
            <w:tcW w:w="700" w:type="dxa"/>
            <w:tcMar>
              <w:top w:w="0" w:type="dxa"/>
              <w:bottom w:w="0" w:type="dxa"/>
            </w:tcMar>
            <w:vAlign w:val="center"/>
          </w:tcPr>
          <w:p w14:paraId="6E6ED049" w14:textId="77777777" w:rsidR="00161CC3" w:rsidRDefault="00000000">
            <w:pPr>
              <w:keepNext/>
              <w:keepLines/>
              <w:spacing w:after="0" w:line="240" w:lineRule="auto"/>
            </w:pPr>
            <w:r>
              <w:rPr>
                <w:sz w:val="18"/>
              </w:rPr>
              <w:t>652</w:t>
            </w:r>
          </w:p>
        </w:tc>
        <w:tc>
          <w:tcPr>
            <w:tcW w:w="1860" w:type="dxa"/>
            <w:tcMar>
              <w:top w:w="0" w:type="dxa"/>
              <w:bottom w:w="0" w:type="dxa"/>
            </w:tcMar>
            <w:vAlign w:val="center"/>
          </w:tcPr>
          <w:p w14:paraId="2C3983B8" w14:textId="77777777" w:rsidR="00161CC3" w:rsidRDefault="00000000">
            <w:pPr>
              <w:keepNext/>
              <w:keepLines/>
              <w:spacing w:after="0" w:line="240" w:lineRule="auto"/>
              <w:jc w:val="right"/>
            </w:pPr>
            <w:r>
              <w:rPr>
                <w:sz w:val="18"/>
              </w:rPr>
              <w:t>227.899,82</w:t>
            </w:r>
          </w:p>
        </w:tc>
        <w:tc>
          <w:tcPr>
            <w:tcW w:w="1860" w:type="dxa"/>
            <w:tcMar>
              <w:top w:w="0" w:type="dxa"/>
              <w:bottom w:w="0" w:type="dxa"/>
            </w:tcMar>
            <w:vAlign w:val="center"/>
          </w:tcPr>
          <w:p w14:paraId="357F05C8" w14:textId="77777777" w:rsidR="00161CC3" w:rsidRDefault="00000000">
            <w:pPr>
              <w:keepNext/>
              <w:keepLines/>
              <w:spacing w:after="0" w:line="240" w:lineRule="auto"/>
              <w:jc w:val="right"/>
            </w:pPr>
            <w:r>
              <w:rPr>
                <w:sz w:val="18"/>
              </w:rPr>
              <w:t>139.987,12</w:t>
            </w:r>
          </w:p>
        </w:tc>
        <w:tc>
          <w:tcPr>
            <w:tcW w:w="700" w:type="dxa"/>
            <w:tcMar>
              <w:top w:w="0" w:type="dxa"/>
              <w:bottom w:w="0" w:type="dxa"/>
            </w:tcMar>
            <w:vAlign w:val="center"/>
          </w:tcPr>
          <w:p w14:paraId="650D9E9F" w14:textId="77777777" w:rsidR="00161CC3" w:rsidRDefault="00000000">
            <w:pPr>
              <w:keepNext/>
              <w:keepLines/>
              <w:spacing w:after="0" w:line="240" w:lineRule="auto"/>
              <w:jc w:val="right"/>
            </w:pPr>
            <w:r>
              <w:rPr>
                <w:sz w:val="18"/>
              </w:rPr>
              <w:t>61,4</w:t>
            </w:r>
          </w:p>
        </w:tc>
      </w:tr>
    </w:tbl>
    <w:p w14:paraId="361ECBB2" w14:textId="77777777" w:rsidR="00161CC3" w:rsidRDefault="00161CC3">
      <w:pPr>
        <w:spacing w:after="0"/>
      </w:pPr>
    </w:p>
    <w:p w14:paraId="567947E6" w14:textId="77777777" w:rsidR="00161CC3" w:rsidRDefault="00000000">
      <w:r>
        <w:t>U ovoj podskupini smanjenje se najvećim dijelom odnosi na smanjenje ostalih nespomenutih prihoda, a radi se o uplati po osnovi isteka višegodišnjih osiguranja koja je izvršena prethodne godine te o uplati sudskog pologa po osnovi sudskog Rješenja, a kojih uplata u 2025. godini nije bilo.</w:t>
      </w:r>
    </w:p>
    <w:p w14:paraId="05C83367" w14:textId="77777777" w:rsidR="00161CC3" w:rsidRDefault="00000000">
      <w:r>
        <w:t> </w:t>
      </w:r>
    </w:p>
    <w:p w14:paraId="6C6898A8" w14:textId="77777777" w:rsidR="00161CC3" w:rsidRDefault="00161CC3"/>
    <w:p w14:paraId="03B5659D" w14:textId="77777777" w:rsidR="00161CC3"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535D601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07DFD2"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226671"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C0A6C8"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CB4D87"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6A0C15"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5E6BE1" w14:textId="77777777" w:rsidR="00161CC3" w:rsidRDefault="00000000">
            <w:pPr>
              <w:keepNext/>
              <w:keepLines/>
              <w:spacing w:after="0" w:line="240" w:lineRule="auto"/>
              <w:jc w:val="center"/>
            </w:pPr>
            <w:r>
              <w:rPr>
                <w:b/>
                <w:sz w:val="18"/>
              </w:rPr>
              <w:t>Indeks (%)</w:t>
            </w:r>
          </w:p>
        </w:tc>
      </w:tr>
      <w:tr w:rsidR="00161CC3" w14:paraId="02DF7A78" w14:textId="77777777">
        <w:tblPrEx>
          <w:tblCellMar>
            <w:top w:w="0" w:type="dxa"/>
            <w:bottom w:w="0" w:type="dxa"/>
          </w:tblCellMar>
        </w:tblPrEx>
        <w:trPr>
          <w:cantSplit/>
          <w:trHeight w:val="560"/>
        </w:trPr>
        <w:tc>
          <w:tcPr>
            <w:tcW w:w="700" w:type="dxa"/>
            <w:tcMar>
              <w:top w:w="0" w:type="dxa"/>
              <w:bottom w:w="0" w:type="dxa"/>
            </w:tcMar>
            <w:vAlign w:val="center"/>
          </w:tcPr>
          <w:p w14:paraId="403C4BE4" w14:textId="77777777" w:rsidR="00161CC3" w:rsidRDefault="00000000">
            <w:pPr>
              <w:keepNext/>
              <w:keepLines/>
              <w:spacing w:after="0" w:line="240" w:lineRule="auto"/>
            </w:pPr>
            <w:r>
              <w:rPr>
                <w:sz w:val="18"/>
              </w:rPr>
              <w:t>653</w:t>
            </w:r>
          </w:p>
        </w:tc>
        <w:tc>
          <w:tcPr>
            <w:tcW w:w="3180" w:type="dxa"/>
            <w:tcMar>
              <w:top w:w="0" w:type="dxa"/>
              <w:bottom w:w="0" w:type="dxa"/>
            </w:tcMar>
            <w:vAlign w:val="center"/>
          </w:tcPr>
          <w:p w14:paraId="64383521" w14:textId="77777777" w:rsidR="00161CC3" w:rsidRDefault="00000000">
            <w:pPr>
              <w:keepNext/>
              <w:keepLines/>
              <w:spacing w:after="0" w:line="240" w:lineRule="auto"/>
            </w:pPr>
            <w:r>
              <w:rPr>
                <w:sz w:val="18"/>
              </w:rPr>
              <w:t>Komunalni doprinosi i naknade (šifre 6531 do 6533)</w:t>
            </w:r>
          </w:p>
        </w:tc>
        <w:tc>
          <w:tcPr>
            <w:tcW w:w="700" w:type="dxa"/>
            <w:tcMar>
              <w:top w:w="0" w:type="dxa"/>
              <w:bottom w:w="0" w:type="dxa"/>
            </w:tcMar>
            <w:vAlign w:val="center"/>
          </w:tcPr>
          <w:p w14:paraId="5B5B21E1" w14:textId="77777777" w:rsidR="00161CC3" w:rsidRDefault="00000000">
            <w:pPr>
              <w:keepNext/>
              <w:keepLines/>
              <w:spacing w:after="0" w:line="240" w:lineRule="auto"/>
            </w:pPr>
            <w:r>
              <w:rPr>
                <w:sz w:val="18"/>
              </w:rPr>
              <w:t>653</w:t>
            </w:r>
          </w:p>
        </w:tc>
        <w:tc>
          <w:tcPr>
            <w:tcW w:w="1860" w:type="dxa"/>
            <w:tcMar>
              <w:top w:w="0" w:type="dxa"/>
              <w:bottom w:w="0" w:type="dxa"/>
            </w:tcMar>
            <w:vAlign w:val="center"/>
          </w:tcPr>
          <w:p w14:paraId="522FAE59" w14:textId="77777777" w:rsidR="00161CC3" w:rsidRDefault="00000000">
            <w:pPr>
              <w:keepNext/>
              <w:keepLines/>
              <w:spacing w:after="0" w:line="240" w:lineRule="auto"/>
              <w:jc w:val="right"/>
            </w:pPr>
            <w:r>
              <w:rPr>
                <w:sz w:val="18"/>
              </w:rPr>
              <w:t>2.649.832,63</w:t>
            </w:r>
          </w:p>
        </w:tc>
        <w:tc>
          <w:tcPr>
            <w:tcW w:w="1860" w:type="dxa"/>
            <w:tcMar>
              <w:top w:w="0" w:type="dxa"/>
              <w:bottom w:w="0" w:type="dxa"/>
            </w:tcMar>
            <w:vAlign w:val="center"/>
          </w:tcPr>
          <w:p w14:paraId="0A405E9B" w14:textId="77777777" w:rsidR="00161CC3" w:rsidRDefault="00000000">
            <w:pPr>
              <w:keepNext/>
              <w:keepLines/>
              <w:spacing w:after="0" w:line="240" w:lineRule="auto"/>
              <w:jc w:val="right"/>
            </w:pPr>
            <w:r>
              <w:rPr>
                <w:sz w:val="18"/>
              </w:rPr>
              <w:t>2.483.935,84</w:t>
            </w:r>
          </w:p>
        </w:tc>
        <w:tc>
          <w:tcPr>
            <w:tcW w:w="700" w:type="dxa"/>
            <w:tcMar>
              <w:top w:w="0" w:type="dxa"/>
              <w:bottom w:w="0" w:type="dxa"/>
            </w:tcMar>
            <w:vAlign w:val="center"/>
          </w:tcPr>
          <w:p w14:paraId="627A24B7" w14:textId="77777777" w:rsidR="00161CC3" w:rsidRDefault="00000000">
            <w:pPr>
              <w:keepNext/>
              <w:keepLines/>
              <w:spacing w:after="0" w:line="240" w:lineRule="auto"/>
              <w:jc w:val="right"/>
            </w:pPr>
            <w:r>
              <w:rPr>
                <w:sz w:val="18"/>
              </w:rPr>
              <w:t>93,7</w:t>
            </w:r>
          </w:p>
        </w:tc>
      </w:tr>
    </w:tbl>
    <w:p w14:paraId="5269F5FB" w14:textId="77777777" w:rsidR="00161CC3" w:rsidRDefault="00161CC3">
      <w:pPr>
        <w:spacing w:after="0"/>
      </w:pPr>
    </w:p>
    <w:p w14:paraId="460E745A" w14:textId="77777777" w:rsidR="00161CC3" w:rsidRDefault="00000000">
      <w:r>
        <w:t>U ovoj podskupini zabilježen je pad u odnosu na prethodnu godinu za 6,3%.</w:t>
      </w:r>
    </w:p>
    <w:p w14:paraId="33928D31" w14:textId="77777777" w:rsidR="00161CC3" w:rsidRDefault="00000000">
      <w:r>
        <w:t>Komunalni doprinos naplaćen je manje u odnosu na prethodnu godinu za 16,5% budući je u istom razdoblju prethodne godine izvršena naplata temeljem većeg broja izdanih rješenja, a koja su se djelomično izdavala i krajem 2023. godine.</w:t>
      </w:r>
    </w:p>
    <w:p w14:paraId="183F6B3E" w14:textId="77777777" w:rsidR="00161CC3" w:rsidRDefault="00000000">
      <w:r>
        <w:t>Komunalna naknada je manje realizirana za 3,7% u odnosu na isto razdoblje prethodne godine zbog slabije realizacije naplate.   </w:t>
      </w:r>
    </w:p>
    <w:p w14:paraId="5401E637" w14:textId="77777777" w:rsidR="00161CC3" w:rsidRDefault="00161CC3"/>
    <w:p w14:paraId="67E9AAC3" w14:textId="77777777" w:rsidR="00161CC3" w:rsidRDefault="00000000">
      <w:pPr>
        <w:keepNext/>
        <w:spacing w:line="240" w:lineRule="auto"/>
        <w:jc w:val="center"/>
      </w:pPr>
      <w:r>
        <w:rPr>
          <w:sz w:val="28"/>
        </w:rPr>
        <w:lastRenderedPageBreak/>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5F51360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48F26E"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89158B"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0C3616"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83B380"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89F03E"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D263F2" w14:textId="77777777" w:rsidR="00161CC3" w:rsidRDefault="00000000">
            <w:pPr>
              <w:keepNext/>
              <w:keepLines/>
              <w:spacing w:after="0" w:line="240" w:lineRule="auto"/>
              <w:jc w:val="center"/>
            </w:pPr>
            <w:r>
              <w:rPr>
                <w:b/>
                <w:sz w:val="18"/>
              </w:rPr>
              <w:t>Indeks (%)</w:t>
            </w:r>
          </w:p>
        </w:tc>
      </w:tr>
      <w:tr w:rsidR="00161CC3" w14:paraId="29AE5A19" w14:textId="77777777">
        <w:tblPrEx>
          <w:tblCellMar>
            <w:top w:w="0" w:type="dxa"/>
            <w:bottom w:w="0" w:type="dxa"/>
          </w:tblCellMar>
        </w:tblPrEx>
        <w:trPr>
          <w:cantSplit/>
          <w:trHeight w:val="560"/>
        </w:trPr>
        <w:tc>
          <w:tcPr>
            <w:tcW w:w="700" w:type="dxa"/>
            <w:tcMar>
              <w:top w:w="0" w:type="dxa"/>
              <w:bottom w:w="0" w:type="dxa"/>
            </w:tcMar>
            <w:vAlign w:val="center"/>
          </w:tcPr>
          <w:p w14:paraId="4992485D" w14:textId="77777777" w:rsidR="00161CC3" w:rsidRDefault="00000000">
            <w:pPr>
              <w:keepNext/>
              <w:keepLines/>
              <w:spacing w:after="0" w:line="240" w:lineRule="auto"/>
            </w:pPr>
            <w:r>
              <w:rPr>
                <w:sz w:val="18"/>
              </w:rPr>
              <w:t>661</w:t>
            </w:r>
          </w:p>
        </w:tc>
        <w:tc>
          <w:tcPr>
            <w:tcW w:w="3180" w:type="dxa"/>
            <w:tcMar>
              <w:top w:w="0" w:type="dxa"/>
              <w:bottom w:w="0" w:type="dxa"/>
            </w:tcMar>
            <w:vAlign w:val="center"/>
          </w:tcPr>
          <w:p w14:paraId="0BEEFCDE" w14:textId="77777777" w:rsidR="00161CC3" w:rsidRDefault="00000000">
            <w:pPr>
              <w:keepNext/>
              <w:keepLines/>
              <w:spacing w:after="0" w:line="240" w:lineRule="auto"/>
            </w:pPr>
            <w:r>
              <w:rPr>
                <w:sz w:val="18"/>
              </w:rPr>
              <w:t>Prihodi od prodaje proizvoda i robe te pruženih usluga (šifre 6614+6615)</w:t>
            </w:r>
          </w:p>
        </w:tc>
        <w:tc>
          <w:tcPr>
            <w:tcW w:w="700" w:type="dxa"/>
            <w:tcMar>
              <w:top w:w="0" w:type="dxa"/>
              <w:bottom w:w="0" w:type="dxa"/>
            </w:tcMar>
            <w:vAlign w:val="center"/>
          </w:tcPr>
          <w:p w14:paraId="6A678565" w14:textId="77777777" w:rsidR="00161CC3" w:rsidRDefault="00000000">
            <w:pPr>
              <w:keepNext/>
              <w:keepLines/>
              <w:spacing w:after="0" w:line="240" w:lineRule="auto"/>
            </w:pPr>
            <w:r>
              <w:rPr>
                <w:sz w:val="18"/>
              </w:rPr>
              <w:t>661</w:t>
            </w:r>
          </w:p>
        </w:tc>
        <w:tc>
          <w:tcPr>
            <w:tcW w:w="1860" w:type="dxa"/>
            <w:tcMar>
              <w:top w:w="0" w:type="dxa"/>
              <w:bottom w:w="0" w:type="dxa"/>
            </w:tcMar>
            <w:vAlign w:val="center"/>
          </w:tcPr>
          <w:p w14:paraId="20756F1A" w14:textId="77777777" w:rsidR="00161CC3" w:rsidRDefault="00000000">
            <w:pPr>
              <w:keepNext/>
              <w:keepLines/>
              <w:spacing w:after="0" w:line="240" w:lineRule="auto"/>
              <w:jc w:val="right"/>
            </w:pPr>
            <w:r>
              <w:rPr>
                <w:sz w:val="18"/>
              </w:rPr>
              <w:t>3.745,32</w:t>
            </w:r>
          </w:p>
        </w:tc>
        <w:tc>
          <w:tcPr>
            <w:tcW w:w="1860" w:type="dxa"/>
            <w:tcMar>
              <w:top w:w="0" w:type="dxa"/>
              <w:bottom w:w="0" w:type="dxa"/>
            </w:tcMar>
            <w:vAlign w:val="center"/>
          </w:tcPr>
          <w:p w14:paraId="5433F224" w14:textId="77777777" w:rsidR="00161CC3" w:rsidRDefault="00000000">
            <w:pPr>
              <w:keepNext/>
              <w:keepLines/>
              <w:spacing w:after="0" w:line="240" w:lineRule="auto"/>
              <w:jc w:val="right"/>
            </w:pPr>
            <w:r>
              <w:rPr>
                <w:sz w:val="18"/>
              </w:rPr>
              <w:t>4.168,62</w:t>
            </w:r>
          </w:p>
        </w:tc>
        <w:tc>
          <w:tcPr>
            <w:tcW w:w="700" w:type="dxa"/>
            <w:tcMar>
              <w:top w:w="0" w:type="dxa"/>
              <w:bottom w:w="0" w:type="dxa"/>
            </w:tcMar>
            <w:vAlign w:val="center"/>
          </w:tcPr>
          <w:p w14:paraId="67DD23AC" w14:textId="77777777" w:rsidR="00161CC3" w:rsidRDefault="00000000">
            <w:pPr>
              <w:keepNext/>
              <w:keepLines/>
              <w:spacing w:after="0" w:line="240" w:lineRule="auto"/>
              <w:jc w:val="right"/>
            </w:pPr>
            <w:r>
              <w:rPr>
                <w:sz w:val="18"/>
              </w:rPr>
              <w:t>111,3</w:t>
            </w:r>
          </w:p>
        </w:tc>
      </w:tr>
    </w:tbl>
    <w:p w14:paraId="20C3380B" w14:textId="77777777" w:rsidR="00161CC3" w:rsidRDefault="00161CC3">
      <w:pPr>
        <w:spacing w:after="0"/>
      </w:pPr>
    </w:p>
    <w:p w14:paraId="7C49B1FE" w14:textId="77777777" w:rsidR="00161CC3" w:rsidRDefault="00000000">
      <w:r>
        <w:t>Navedeni su prihodi ostvareni od obavljanja ostalih poslova vlastite djelatnosti te iznose 4.168,62 EUR, što je za 423,30 EUR više nego prethodne godine.</w:t>
      </w:r>
    </w:p>
    <w:p w14:paraId="323E5FBA" w14:textId="77777777" w:rsidR="00161CC3" w:rsidRDefault="00161CC3"/>
    <w:p w14:paraId="1DEB1F31" w14:textId="77777777" w:rsidR="00161CC3"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117F190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184C40"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322EF5"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404292"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46C583"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1410B3"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D18243" w14:textId="77777777" w:rsidR="00161CC3" w:rsidRDefault="00000000">
            <w:pPr>
              <w:keepNext/>
              <w:keepLines/>
              <w:spacing w:after="0" w:line="240" w:lineRule="auto"/>
              <w:jc w:val="center"/>
            </w:pPr>
            <w:r>
              <w:rPr>
                <w:b/>
                <w:sz w:val="18"/>
              </w:rPr>
              <w:t>Indeks (%)</w:t>
            </w:r>
          </w:p>
        </w:tc>
      </w:tr>
      <w:tr w:rsidR="00161CC3" w14:paraId="3D771D5B" w14:textId="77777777">
        <w:tblPrEx>
          <w:tblCellMar>
            <w:top w:w="0" w:type="dxa"/>
            <w:bottom w:w="0" w:type="dxa"/>
          </w:tblCellMar>
        </w:tblPrEx>
        <w:trPr>
          <w:cantSplit/>
          <w:trHeight w:val="560"/>
        </w:trPr>
        <w:tc>
          <w:tcPr>
            <w:tcW w:w="700" w:type="dxa"/>
            <w:tcMar>
              <w:top w:w="0" w:type="dxa"/>
              <w:bottom w:w="0" w:type="dxa"/>
            </w:tcMar>
            <w:vAlign w:val="center"/>
          </w:tcPr>
          <w:p w14:paraId="53EF454E" w14:textId="77777777" w:rsidR="00161CC3" w:rsidRDefault="00000000">
            <w:pPr>
              <w:keepNext/>
              <w:keepLines/>
              <w:spacing w:after="0" w:line="240" w:lineRule="auto"/>
            </w:pPr>
            <w:r>
              <w:rPr>
                <w:sz w:val="18"/>
              </w:rPr>
              <w:t>663</w:t>
            </w:r>
          </w:p>
        </w:tc>
        <w:tc>
          <w:tcPr>
            <w:tcW w:w="3180" w:type="dxa"/>
            <w:tcMar>
              <w:top w:w="0" w:type="dxa"/>
              <w:bottom w:w="0" w:type="dxa"/>
            </w:tcMar>
            <w:vAlign w:val="center"/>
          </w:tcPr>
          <w:p w14:paraId="1D42AA8A" w14:textId="77777777" w:rsidR="00161CC3" w:rsidRDefault="00000000">
            <w:pPr>
              <w:keepNext/>
              <w:keepLines/>
              <w:spacing w:after="0" w:line="240" w:lineRule="auto"/>
            </w:pPr>
            <w:r>
              <w:rPr>
                <w:sz w:val="18"/>
              </w:rPr>
              <w:t>Donacije od pravnih i fizičkih osoba izvan općeg proračuna te povrat donacija i kapitalnih pomoći po protestiranim jamstvima (šifre 6631 do 6634)</w:t>
            </w:r>
          </w:p>
        </w:tc>
        <w:tc>
          <w:tcPr>
            <w:tcW w:w="700" w:type="dxa"/>
            <w:tcMar>
              <w:top w:w="0" w:type="dxa"/>
              <w:bottom w:w="0" w:type="dxa"/>
            </w:tcMar>
            <w:vAlign w:val="center"/>
          </w:tcPr>
          <w:p w14:paraId="21952483" w14:textId="77777777" w:rsidR="00161CC3" w:rsidRDefault="00000000">
            <w:pPr>
              <w:keepNext/>
              <w:keepLines/>
              <w:spacing w:after="0" w:line="240" w:lineRule="auto"/>
            </w:pPr>
            <w:r>
              <w:rPr>
                <w:sz w:val="18"/>
              </w:rPr>
              <w:t>663</w:t>
            </w:r>
          </w:p>
        </w:tc>
        <w:tc>
          <w:tcPr>
            <w:tcW w:w="1860" w:type="dxa"/>
            <w:tcMar>
              <w:top w:w="0" w:type="dxa"/>
              <w:bottom w:w="0" w:type="dxa"/>
            </w:tcMar>
            <w:vAlign w:val="center"/>
          </w:tcPr>
          <w:p w14:paraId="71A667CA" w14:textId="77777777" w:rsidR="00161CC3" w:rsidRDefault="00000000">
            <w:pPr>
              <w:keepNext/>
              <w:keepLines/>
              <w:spacing w:after="0" w:line="240" w:lineRule="auto"/>
              <w:jc w:val="right"/>
            </w:pPr>
            <w:r>
              <w:rPr>
                <w:sz w:val="18"/>
              </w:rPr>
              <w:t>97.414,41</w:t>
            </w:r>
          </w:p>
        </w:tc>
        <w:tc>
          <w:tcPr>
            <w:tcW w:w="1860" w:type="dxa"/>
            <w:tcMar>
              <w:top w:w="0" w:type="dxa"/>
              <w:bottom w:w="0" w:type="dxa"/>
            </w:tcMar>
            <w:vAlign w:val="center"/>
          </w:tcPr>
          <w:p w14:paraId="17E8A50D" w14:textId="77777777" w:rsidR="00161CC3" w:rsidRDefault="00000000">
            <w:pPr>
              <w:keepNext/>
              <w:keepLines/>
              <w:spacing w:after="0" w:line="240" w:lineRule="auto"/>
              <w:jc w:val="right"/>
            </w:pPr>
            <w:r>
              <w:rPr>
                <w:sz w:val="18"/>
              </w:rPr>
              <w:t>28.500,00</w:t>
            </w:r>
          </w:p>
        </w:tc>
        <w:tc>
          <w:tcPr>
            <w:tcW w:w="700" w:type="dxa"/>
            <w:tcMar>
              <w:top w:w="0" w:type="dxa"/>
              <w:bottom w:w="0" w:type="dxa"/>
            </w:tcMar>
            <w:vAlign w:val="center"/>
          </w:tcPr>
          <w:p w14:paraId="53109028" w14:textId="77777777" w:rsidR="00161CC3" w:rsidRDefault="00000000">
            <w:pPr>
              <w:keepNext/>
              <w:keepLines/>
              <w:spacing w:after="0" w:line="240" w:lineRule="auto"/>
              <w:jc w:val="right"/>
            </w:pPr>
            <w:r>
              <w:rPr>
                <w:sz w:val="18"/>
              </w:rPr>
              <w:t>29,3</w:t>
            </w:r>
          </w:p>
        </w:tc>
      </w:tr>
    </w:tbl>
    <w:p w14:paraId="1DAE0932" w14:textId="77777777" w:rsidR="00161CC3" w:rsidRDefault="00161CC3">
      <w:pPr>
        <w:spacing w:after="0"/>
      </w:pPr>
    </w:p>
    <w:p w14:paraId="38A39489" w14:textId="77777777" w:rsidR="00161CC3" w:rsidRDefault="00000000">
      <w:r>
        <w:t>Ovi prihodi su realizirani u iznosu od 28.500,00 EUR, te su za 70,7 %  manji nego u istom razdoblju 2024. godine.</w:t>
      </w:r>
    </w:p>
    <w:p w14:paraId="76862FA5" w14:textId="77777777" w:rsidR="00161CC3" w:rsidRDefault="00000000">
      <w:r>
        <w:t>U istom razdoblju prethodne godine primljene su dvije veće kapitalne donacije i to za nabavu spremnika za biootpad i za nerazvrstanu cestu što je najviše utjecalo na značajnu razliku u odnosu na prihode ostvarene u ovoj podskupini u 2025. godini.</w:t>
      </w:r>
    </w:p>
    <w:p w14:paraId="14DED204" w14:textId="77777777" w:rsidR="00161CC3" w:rsidRDefault="00000000">
      <w:r>
        <w:t> </w:t>
      </w:r>
    </w:p>
    <w:p w14:paraId="432BADB5" w14:textId="77777777" w:rsidR="00161CC3" w:rsidRDefault="00161CC3"/>
    <w:p w14:paraId="7DB3D2D0" w14:textId="77777777" w:rsidR="00161CC3"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7BE65CC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AB8280"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BA5BF7"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66E920"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0A34A8"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930E89"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A18134" w14:textId="77777777" w:rsidR="00161CC3" w:rsidRDefault="00000000">
            <w:pPr>
              <w:keepNext/>
              <w:keepLines/>
              <w:spacing w:after="0" w:line="240" w:lineRule="auto"/>
              <w:jc w:val="center"/>
            </w:pPr>
            <w:r>
              <w:rPr>
                <w:b/>
                <w:sz w:val="18"/>
              </w:rPr>
              <w:t>Indeks (%)</w:t>
            </w:r>
          </w:p>
        </w:tc>
      </w:tr>
      <w:tr w:rsidR="00161CC3" w14:paraId="3197C690" w14:textId="77777777">
        <w:tblPrEx>
          <w:tblCellMar>
            <w:top w:w="0" w:type="dxa"/>
            <w:bottom w:w="0" w:type="dxa"/>
          </w:tblCellMar>
        </w:tblPrEx>
        <w:trPr>
          <w:cantSplit/>
          <w:trHeight w:val="560"/>
        </w:trPr>
        <w:tc>
          <w:tcPr>
            <w:tcW w:w="700" w:type="dxa"/>
            <w:tcMar>
              <w:top w:w="0" w:type="dxa"/>
              <w:bottom w:w="0" w:type="dxa"/>
            </w:tcMar>
            <w:vAlign w:val="center"/>
          </w:tcPr>
          <w:p w14:paraId="4F82945D" w14:textId="77777777" w:rsidR="00161CC3" w:rsidRDefault="00000000">
            <w:pPr>
              <w:keepNext/>
              <w:keepLines/>
              <w:spacing w:after="0" w:line="240" w:lineRule="auto"/>
            </w:pPr>
            <w:r>
              <w:rPr>
                <w:sz w:val="18"/>
              </w:rPr>
              <w:t>681</w:t>
            </w:r>
          </w:p>
        </w:tc>
        <w:tc>
          <w:tcPr>
            <w:tcW w:w="3180" w:type="dxa"/>
            <w:tcMar>
              <w:top w:w="0" w:type="dxa"/>
              <w:bottom w:w="0" w:type="dxa"/>
            </w:tcMar>
            <w:vAlign w:val="center"/>
          </w:tcPr>
          <w:p w14:paraId="5F828BAD" w14:textId="77777777" w:rsidR="00161CC3" w:rsidRDefault="00000000">
            <w:pPr>
              <w:keepNext/>
              <w:keepLines/>
              <w:spacing w:after="0" w:line="240" w:lineRule="auto"/>
            </w:pPr>
            <w:r>
              <w:rPr>
                <w:sz w:val="18"/>
              </w:rPr>
              <w:t>Kazne i upravne mjere (šifre 6811 do 6819)</w:t>
            </w:r>
          </w:p>
        </w:tc>
        <w:tc>
          <w:tcPr>
            <w:tcW w:w="700" w:type="dxa"/>
            <w:tcMar>
              <w:top w:w="0" w:type="dxa"/>
              <w:bottom w:w="0" w:type="dxa"/>
            </w:tcMar>
            <w:vAlign w:val="center"/>
          </w:tcPr>
          <w:p w14:paraId="2E354829" w14:textId="77777777" w:rsidR="00161CC3" w:rsidRDefault="00000000">
            <w:pPr>
              <w:keepNext/>
              <w:keepLines/>
              <w:spacing w:after="0" w:line="240" w:lineRule="auto"/>
            </w:pPr>
            <w:r>
              <w:rPr>
                <w:sz w:val="18"/>
              </w:rPr>
              <w:t>681</w:t>
            </w:r>
          </w:p>
        </w:tc>
        <w:tc>
          <w:tcPr>
            <w:tcW w:w="1860" w:type="dxa"/>
            <w:tcMar>
              <w:top w:w="0" w:type="dxa"/>
              <w:bottom w:w="0" w:type="dxa"/>
            </w:tcMar>
            <w:vAlign w:val="center"/>
          </w:tcPr>
          <w:p w14:paraId="4D1E1E57" w14:textId="77777777" w:rsidR="00161CC3" w:rsidRDefault="00000000">
            <w:pPr>
              <w:keepNext/>
              <w:keepLines/>
              <w:spacing w:after="0" w:line="240" w:lineRule="auto"/>
              <w:jc w:val="right"/>
            </w:pPr>
            <w:r>
              <w:rPr>
                <w:sz w:val="18"/>
              </w:rPr>
              <w:t>23.090,45</w:t>
            </w:r>
          </w:p>
        </w:tc>
        <w:tc>
          <w:tcPr>
            <w:tcW w:w="1860" w:type="dxa"/>
            <w:tcMar>
              <w:top w:w="0" w:type="dxa"/>
              <w:bottom w:w="0" w:type="dxa"/>
            </w:tcMar>
            <w:vAlign w:val="center"/>
          </w:tcPr>
          <w:p w14:paraId="177EDA75" w14:textId="77777777" w:rsidR="00161CC3" w:rsidRDefault="00000000">
            <w:pPr>
              <w:keepNext/>
              <w:keepLines/>
              <w:spacing w:after="0" w:line="240" w:lineRule="auto"/>
              <w:jc w:val="right"/>
            </w:pPr>
            <w:r>
              <w:rPr>
                <w:sz w:val="18"/>
              </w:rPr>
              <w:t>26.402,10</w:t>
            </w:r>
          </w:p>
        </w:tc>
        <w:tc>
          <w:tcPr>
            <w:tcW w:w="700" w:type="dxa"/>
            <w:tcMar>
              <w:top w:w="0" w:type="dxa"/>
              <w:bottom w:w="0" w:type="dxa"/>
            </w:tcMar>
            <w:vAlign w:val="center"/>
          </w:tcPr>
          <w:p w14:paraId="788F6EBA" w14:textId="77777777" w:rsidR="00161CC3" w:rsidRDefault="00000000">
            <w:pPr>
              <w:keepNext/>
              <w:keepLines/>
              <w:spacing w:after="0" w:line="240" w:lineRule="auto"/>
              <w:jc w:val="right"/>
            </w:pPr>
            <w:r>
              <w:rPr>
                <w:sz w:val="18"/>
              </w:rPr>
              <w:t>114,3</w:t>
            </w:r>
          </w:p>
        </w:tc>
      </w:tr>
    </w:tbl>
    <w:p w14:paraId="26A958DB" w14:textId="77777777" w:rsidR="00161CC3" w:rsidRDefault="00161CC3">
      <w:pPr>
        <w:spacing w:after="0"/>
      </w:pPr>
    </w:p>
    <w:p w14:paraId="49C29B88" w14:textId="77777777" w:rsidR="00161CC3" w:rsidRDefault="00000000">
      <w:r>
        <w:t>Prihodi su ostvareni u iznosu od 26.402,10 EUR, te se u odnosu na prethodnu godinu povećali za 3.311,65 EUR ili 14,3% što je rezultat većeg broja izdanih kazni među kojima ima i onih koje se naplaćuju u većem iznosu.</w:t>
      </w:r>
    </w:p>
    <w:p w14:paraId="49D57F4E" w14:textId="77777777" w:rsidR="00161CC3" w:rsidRDefault="00000000">
      <w:r>
        <w:t> </w:t>
      </w:r>
    </w:p>
    <w:p w14:paraId="1E81B771" w14:textId="77777777" w:rsidR="00161CC3" w:rsidRDefault="00161CC3"/>
    <w:p w14:paraId="7167374D" w14:textId="77777777" w:rsidR="00161CC3" w:rsidRDefault="00000000">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49DF25D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C1693B"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9EEB168"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18CCBB"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72F5A2"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45F735"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297E4C" w14:textId="77777777" w:rsidR="00161CC3" w:rsidRDefault="00000000">
            <w:pPr>
              <w:keepNext/>
              <w:keepLines/>
              <w:spacing w:after="0" w:line="240" w:lineRule="auto"/>
              <w:jc w:val="center"/>
            </w:pPr>
            <w:r>
              <w:rPr>
                <w:b/>
                <w:sz w:val="18"/>
              </w:rPr>
              <w:t>Indeks (%)</w:t>
            </w:r>
          </w:p>
        </w:tc>
      </w:tr>
      <w:tr w:rsidR="00161CC3" w14:paraId="74E9DE69" w14:textId="77777777">
        <w:tblPrEx>
          <w:tblCellMar>
            <w:top w:w="0" w:type="dxa"/>
            <w:bottom w:w="0" w:type="dxa"/>
          </w:tblCellMar>
        </w:tblPrEx>
        <w:trPr>
          <w:cantSplit/>
          <w:trHeight w:val="560"/>
        </w:trPr>
        <w:tc>
          <w:tcPr>
            <w:tcW w:w="700" w:type="dxa"/>
            <w:tcMar>
              <w:top w:w="0" w:type="dxa"/>
              <w:bottom w:w="0" w:type="dxa"/>
            </w:tcMar>
            <w:vAlign w:val="center"/>
          </w:tcPr>
          <w:p w14:paraId="10BB8918" w14:textId="77777777" w:rsidR="00161CC3" w:rsidRDefault="00000000">
            <w:pPr>
              <w:keepNext/>
              <w:keepLines/>
              <w:spacing w:after="0" w:line="240" w:lineRule="auto"/>
            </w:pPr>
            <w:r>
              <w:rPr>
                <w:sz w:val="18"/>
              </w:rPr>
              <w:t>311</w:t>
            </w:r>
          </w:p>
        </w:tc>
        <w:tc>
          <w:tcPr>
            <w:tcW w:w="3180" w:type="dxa"/>
            <w:tcMar>
              <w:top w:w="0" w:type="dxa"/>
              <w:bottom w:w="0" w:type="dxa"/>
            </w:tcMar>
            <w:vAlign w:val="center"/>
          </w:tcPr>
          <w:p w14:paraId="058704FC" w14:textId="77777777" w:rsidR="00161CC3" w:rsidRDefault="00000000">
            <w:pPr>
              <w:keepNext/>
              <w:keepLines/>
              <w:spacing w:after="0" w:line="240" w:lineRule="auto"/>
            </w:pPr>
            <w:r>
              <w:rPr>
                <w:sz w:val="18"/>
              </w:rPr>
              <w:t>Plaće (bruto) (šifre 3111 do 3114)</w:t>
            </w:r>
          </w:p>
        </w:tc>
        <w:tc>
          <w:tcPr>
            <w:tcW w:w="700" w:type="dxa"/>
            <w:tcMar>
              <w:top w:w="0" w:type="dxa"/>
              <w:bottom w:w="0" w:type="dxa"/>
            </w:tcMar>
            <w:vAlign w:val="center"/>
          </w:tcPr>
          <w:p w14:paraId="27D6F1EB" w14:textId="77777777" w:rsidR="00161CC3" w:rsidRDefault="00000000">
            <w:pPr>
              <w:keepNext/>
              <w:keepLines/>
              <w:spacing w:after="0" w:line="240" w:lineRule="auto"/>
            </w:pPr>
            <w:r>
              <w:rPr>
                <w:sz w:val="18"/>
              </w:rPr>
              <w:t>311</w:t>
            </w:r>
          </w:p>
        </w:tc>
        <w:tc>
          <w:tcPr>
            <w:tcW w:w="1860" w:type="dxa"/>
            <w:tcMar>
              <w:top w:w="0" w:type="dxa"/>
              <w:bottom w:w="0" w:type="dxa"/>
            </w:tcMar>
            <w:vAlign w:val="center"/>
          </w:tcPr>
          <w:p w14:paraId="7C0B8AF3" w14:textId="77777777" w:rsidR="00161CC3" w:rsidRDefault="00000000">
            <w:pPr>
              <w:keepNext/>
              <w:keepLines/>
              <w:spacing w:after="0" w:line="240" w:lineRule="auto"/>
              <w:jc w:val="right"/>
            </w:pPr>
            <w:r>
              <w:rPr>
                <w:sz w:val="18"/>
              </w:rPr>
              <w:t>1.069.136,04</w:t>
            </w:r>
          </w:p>
        </w:tc>
        <w:tc>
          <w:tcPr>
            <w:tcW w:w="1860" w:type="dxa"/>
            <w:tcMar>
              <w:top w:w="0" w:type="dxa"/>
              <w:bottom w:w="0" w:type="dxa"/>
            </w:tcMar>
            <w:vAlign w:val="center"/>
          </w:tcPr>
          <w:p w14:paraId="61DE9086" w14:textId="77777777" w:rsidR="00161CC3" w:rsidRDefault="00000000">
            <w:pPr>
              <w:keepNext/>
              <w:keepLines/>
              <w:spacing w:after="0" w:line="240" w:lineRule="auto"/>
              <w:jc w:val="right"/>
            </w:pPr>
            <w:r>
              <w:rPr>
                <w:sz w:val="18"/>
              </w:rPr>
              <w:t>1.195.046,62</w:t>
            </w:r>
          </w:p>
        </w:tc>
        <w:tc>
          <w:tcPr>
            <w:tcW w:w="700" w:type="dxa"/>
            <w:tcMar>
              <w:top w:w="0" w:type="dxa"/>
              <w:bottom w:w="0" w:type="dxa"/>
            </w:tcMar>
            <w:vAlign w:val="center"/>
          </w:tcPr>
          <w:p w14:paraId="325B5573" w14:textId="77777777" w:rsidR="00161CC3" w:rsidRDefault="00000000">
            <w:pPr>
              <w:keepNext/>
              <w:keepLines/>
              <w:spacing w:after="0" w:line="240" w:lineRule="auto"/>
              <w:jc w:val="right"/>
            </w:pPr>
            <w:r>
              <w:rPr>
                <w:sz w:val="18"/>
              </w:rPr>
              <w:t>111,8</w:t>
            </w:r>
          </w:p>
        </w:tc>
      </w:tr>
    </w:tbl>
    <w:p w14:paraId="4B0666D8" w14:textId="77777777" w:rsidR="00161CC3" w:rsidRDefault="00161CC3">
      <w:pPr>
        <w:spacing w:after="0"/>
      </w:pPr>
    </w:p>
    <w:p w14:paraId="4FA43A52" w14:textId="77777777" w:rsidR="00161CC3" w:rsidRDefault="00000000">
      <w:r>
        <w:t>U ovoj podskupini došlo je do povećanja za 11,8% i to zbog povećanja osnovice za obračun plaća krajem 2024. te početkom 2025. godine za ukupno 21%.</w:t>
      </w:r>
    </w:p>
    <w:p w14:paraId="6A5E2B10" w14:textId="77777777" w:rsidR="00161CC3" w:rsidRDefault="00000000">
      <w:r>
        <w:t> </w:t>
      </w:r>
    </w:p>
    <w:p w14:paraId="39A6E565" w14:textId="77777777" w:rsidR="00161CC3" w:rsidRDefault="00161CC3"/>
    <w:p w14:paraId="52BB32B3" w14:textId="77777777" w:rsidR="00161CC3"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1762DFA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94E327"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4DB3F1C"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10FD65"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D5FEEE"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A1D863"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F72569" w14:textId="77777777" w:rsidR="00161CC3" w:rsidRDefault="00000000">
            <w:pPr>
              <w:keepNext/>
              <w:keepLines/>
              <w:spacing w:after="0" w:line="240" w:lineRule="auto"/>
              <w:jc w:val="center"/>
            </w:pPr>
            <w:r>
              <w:rPr>
                <w:b/>
                <w:sz w:val="18"/>
              </w:rPr>
              <w:t>Indeks (%)</w:t>
            </w:r>
          </w:p>
        </w:tc>
      </w:tr>
      <w:tr w:rsidR="00161CC3" w14:paraId="1BA1972E" w14:textId="77777777">
        <w:tblPrEx>
          <w:tblCellMar>
            <w:top w:w="0" w:type="dxa"/>
            <w:bottom w:w="0" w:type="dxa"/>
          </w:tblCellMar>
        </w:tblPrEx>
        <w:trPr>
          <w:cantSplit/>
          <w:trHeight w:val="560"/>
        </w:trPr>
        <w:tc>
          <w:tcPr>
            <w:tcW w:w="700" w:type="dxa"/>
            <w:tcMar>
              <w:top w:w="0" w:type="dxa"/>
              <w:bottom w:w="0" w:type="dxa"/>
            </w:tcMar>
            <w:vAlign w:val="center"/>
          </w:tcPr>
          <w:p w14:paraId="472AA71D" w14:textId="77777777" w:rsidR="00161CC3" w:rsidRDefault="00000000">
            <w:pPr>
              <w:keepNext/>
              <w:keepLines/>
              <w:spacing w:after="0" w:line="240" w:lineRule="auto"/>
            </w:pPr>
            <w:r>
              <w:rPr>
                <w:sz w:val="18"/>
              </w:rPr>
              <w:t>312</w:t>
            </w:r>
          </w:p>
        </w:tc>
        <w:tc>
          <w:tcPr>
            <w:tcW w:w="3180" w:type="dxa"/>
            <w:tcMar>
              <w:top w:w="0" w:type="dxa"/>
              <w:bottom w:w="0" w:type="dxa"/>
            </w:tcMar>
            <w:vAlign w:val="center"/>
          </w:tcPr>
          <w:p w14:paraId="4A59EC22" w14:textId="77777777" w:rsidR="00161CC3" w:rsidRDefault="00000000">
            <w:pPr>
              <w:keepNext/>
              <w:keepLines/>
              <w:spacing w:after="0" w:line="240" w:lineRule="auto"/>
            </w:pPr>
            <w:r>
              <w:rPr>
                <w:sz w:val="18"/>
              </w:rPr>
              <w:t>Ostali rashodi za zaposlene</w:t>
            </w:r>
          </w:p>
        </w:tc>
        <w:tc>
          <w:tcPr>
            <w:tcW w:w="700" w:type="dxa"/>
            <w:tcMar>
              <w:top w:w="0" w:type="dxa"/>
              <w:bottom w:w="0" w:type="dxa"/>
            </w:tcMar>
            <w:vAlign w:val="center"/>
          </w:tcPr>
          <w:p w14:paraId="76C4C411" w14:textId="77777777" w:rsidR="00161CC3" w:rsidRDefault="00000000">
            <w:pPr>
              <w:keepNext/>
              <w:keepLines/>
              <w:spacing w:after="0" w:line="240" w:lineRule="auto"/>
            </w:pPr>
            <w:r>
              <w:rPr>
                <w:sz w:val="18"/>
              </w:rPr>
              <w:t>312</w:t>
            </w:r>
          </w:p>
        </w:tc>
        <w:tc>
          <w:tcPr>
            <w:tcW w:w="1860" w:type="dxa"/>
            <w:tcMar>
              <w:top w:w="0" w:type="dxa"/>
              <w:bottom w:w="0" w:type="dxa"/>
            </w:tcMar>
            <w:vAlign w:val="center"/>
          </w:tcPr>
          <w:p w14:paraId="75A2B9B5" w14:textId="77777777" w:rsidR="00161CC3" w:rsidRDefault="00000000">
            <w:pPr>
              <w:keepNext/>
              <w:keepLines/>
              <w:spacing w:after="0" w:line="240" w:lineRule="auto"/>
              <w:jc w:val="right"/>
            </w:pPr>
            <w:r>
              <w:rPr>
                <w:sz w:val="18"/>
              </w:rPr>
              <w:t>115.277,31</w:t>
            </w:r>
          </w:p>
        </w:tc>
        <w:tc>
          <w:tcPr>
            <w:tcW w:w="1860" w:type="dxa"/>
            <w:tcMar>
              <w:top w:w="0" w:type="dxa"/>
              <w:bottom w:w="0" w:type="dxa"/>
            </w:tcMar>
            <w:vAlign w:val="center"/>
          </w:tcPr>
          <w:p w14:paraId="7EBB4691" w14:textId="77777777" w:rsidR="00161CC3" w:rsidRDefault="00000000">
            <w:pPr>
              <w:keepNext/>
              <w:keepLines/>
              <w:spacing w:after="0" w:line="240" w:lineRule="auto"/>
              <w:jc w:val="right"/>
            </w:pPr>
            <w:r>
              <w:rPr>
                <w:sz w:val="18"/>
              </w:rPr>
              <w:t>150.120,62</w:t>
            </w:r>
          </w:p>
        </w:tc>
        <w:tc>
          <w:tcPr>
            <w:tcW w:w="700" w:type="dxa"/>
            <w:tcMar>
              <w:top w:w="0" w:type="dxa"/>
              <w:bottom w:w="0" w:type="dxa"/>
            </w:tcMar>
            <w:vAlign w:val="center"/>
          </w:tcPr>
          <w:p w14:paraId="718F2594" w14:textId="77777777" w:rsidR="00161CC3" w:rsidRDefault="00000000">
            <w:pPr>
              <w:keepNext/>
              <w:keepLines/>
              <w:spacing w:after="0" w:line="240" w:lineRule="auto"/>
              <w:jc w:val="right"/>
            </w:pPr>
            <w:r>
              <w:rPr>
                <w:sz w:val="18"/>
              </w:rPr>
              <w:t>130,2</w:t>
            </w:r>
          </w:p>
        </w:tc>
      </w:tr>
    </w:tbl>
    <w:p w14:paraId="21316F4B" w14:textId="77777777" w:rsidR="00161CC3" w:rsidRDefault="00161CC3">
      <w:pPr>
        <w:spacing w:after="0"/>
      </w:pPr>
    </w:p>
    <w:p w14:paraId="008750D7" w14:textId="77777777" w:rsidR="00161CC3" w:rsidRDefault="00000000">
      <w:r>
        <w:t>U ovoj podskupini došlo je do povećanja za 30,2% iz razloga što se ukupno 6 mjeseci tijekom 2025. godini, vršila isplate naknade plaće po prestanku profesionalnog obavljanja dužnosti gradonačelnika.</w:t>
      </w:r>
    </w:p>
    <w:p w14:paraId="6234EB3F" w14:textId="77777777" w:rsidR="00161CC3" w:rsidRDefault="00000000">
      <w:r>
        <w:t> </w:t>
      </w:r>
    </w:p>
    <w:p w14:paraId="2331B0FF" w14:textId="77777777" w:rsidR="00161CC3" w:rsidRDefault="00161CC3"/>
    <w:p w14:paraId="445FF529" w14:textId="77777777" w:rsidR="00161CC3"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16B6DE0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4D0D86"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0C892D"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F73F5D"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46BF94"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308714"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BADCD6" w14:textId="77777777" w:rsidR="00161CC3" w:rsidRDefault="00000000">
            <w:pPr>
              <w:keepNext/>
              <w:keepLines/>
              <w:spacing w:after="0" w:line="240" w:lineRule="auto"/>
              <w:jc w:val="center"/>
            </w:pPr>
            <w:r>
              <w:rPr>
                <w:b/>
                <w:sz w:val="18"/>
              </w:rPr>
              <w:t>Indeks (%)</w:t>
            </w:r>
          </w:p>
        </w:tc>
      </w:tr>
      <w:tr w:rsidR="00161CC3" w14:paraId="7E232E3D" w14:textId="77777777">
        <w:tblPrEx>
          <w:tblCellMar>
            <w:top w:w="0" w:type="dxa"/>
            <w:bottom w:w="0" w:type="dxa"/>
          </w:tblCellMar>
        </w:tblPrEx>
        <w:trPr>
          <w:cantSplit/>
          <w:trHeight w:val="560"/>
        </w:trPr>
        <w:tc>
          <w:tcPr>
            <w:tcW w:w="700" w:type="dxa"/>
            <w:tcMar>
              <w:top w:w="0" w:type="dxa"/>
              <w:bottom w:w="0" w:type="dxa"/>
            </w:tcMar>
            <w:vAlign w:val="center"/>
          </w:tcPr>
          <w:p w14:paraId="007075AF" w14:textId="77777777" w:rsidR="00161CC3" w:rsidRDefault="00000000">
            <w:pPr>
              <w:keepNext/>
              <w:keepLines/>
              <w:spacing w:after="0" w:line="240" w:lineRule="auto"/>
            </w:pPr>
            <w:r>
              <w:rPr>
                <w:sz w:val="18"/>
              </w:rPr>
              <w:t>321</w:t>
            </w:r>
          </w:p>
        </w:tc>
        <w:tc>
          <w:tcPr>
            <w:tcW w:w="3180" w:type="dxa"/>
            <w:tcMar>
              <w:top w:w="0" w:type="dxa"/>
              <w:bottom w:w="0" w:type="dxa"/>
            </w:tcMar>
            <w:vAlign w:val="center"/>
          </w:tcPr>
          <w:p w14:paraId="755F6475" w14:textId="77777777" w:rsidR="00161CC3" w:rsidRDefault="00000000">
            <w:pPr>
              <w:keepNext/>
              <w:keepLines/>
              <w:spacing w:after="0" w:line="240" w:lineRule="auto"/>
            </w:pPr>
            <w:r>
              <w:rPr>
                <w:sz w:val="18"/>
              </w:rPr>
              <w:t>Naknade troškova zaposlenima (šifre 3211 do 3214)</w:t>
            </w:r>
          </w:p>
        </w:tc>
        <w:tc>
          <w:tcPr>
            <w:tcW w:w="700" w:type="dxa"/>
            <w:tcMar>
              <w:top w:w="0" w:type="dxa"/>
              <w:bottom w:w="0" w:type="dxa"/>
            </w:tcMar>
            <w:vAlign w:val="center"/>
          </w:tcPr>
          <w:p w14:paraId="679DCAF3" w14:textId="77777777" w:rsidR="00161CC3" w:rsidRDefault="00000000">
            <w:pPr>
              <w:keepNext/>
              <w:keepLines/>
              <w:spacing w:after="0" w:line="240" w:lineRule="auto"/>
            </w:pPr>
            <w:r>
              <w:rPr>
                <w:sz w:val="18"/>
              </w:rPr>
              <w:t>321</w:t>
            </w:r>
          </w:p>
        </w:tc>
        <w:tc>
          <w:tcPr>
            <w:tcW w:w="1860" w:type="dxa"/>
            <w:tcMar>
              <w:top w:w="0" w:type="dxa"/>
              <w:bottom w:w="0" w:type="dxa"/>
            </w:tcMar>
            <w:vAlign w:val="center"/>
          </w:tcPr>
          <w:p w14:paraId="2B7FA79E" w14:textId="77777777" w:rsidR="00161CC3" w:rsidRDefault="00000000">
            <w:pPr>
              <w:keepNext/>
              <w:keepLines/>
              <w:spacing w:after="0" w:line="240" w:lineRule="auto"/>
              <w:jc w:val="right"/>
            </w:pPr>
            <w:r>
              <w:rPr>
                <w:sz w:val="18"/>
              </w:rPr>
              <w:t>42.036,45</w:t>
            </w:r>
          </w:p>
        </w:tc>
        <w:tc>
          <w:tcPr>
            <w:tcW w:w="1860" w:type="dxa"/>
            <w:tcMar>
              <w:top w:w="0" w:type="dxa"/>
              <w:bottom w:w="0" w:type="dxa"/>
            </w:tcMar>
            <w:vAlign w:val="center"/>
          </w:tcPr>
          <w:p w14:paraId="5B4E1BFB" w14:textId="77777777" w:rsidR="00161CC3" w:rsidRDefault="00000000">
            <w:pPr>
              <w:keepNext/>
              <w:keepLines/>
              <w:spacing w:after="0" w:line="240" w:lineRule="auto"/>
              <w:jc w:val="right"/>
            </w:pPr>
            <w:r>
              <w:rPr>
                <w:sz w:val="18"/>
              </w:rPr>
              <w:t>45.211,24</w:t>
            </w:r>
          </w:p>
        </w:tc>
        <w:tc>
          <w:tcPr>
            <w:tcW w:w="700" w:type="dxa"/>
            <w:tcMar>
              <w:top w:w="0" w:type="dxa"/>
              <w:bottom w:w="0" w:type="dxa"/>
            </w:tcMar>
            <w:vAlign w:val="center"/>
          </w:tcPr>
          <w:p w14:paraId="5E94663E" w14:textId="77777777" w:rsidR="00161CC3" w:rsidRDefault="00000000">
            <w:pPr>
              <w:keepNext/>
              <w:keepLines/>
              <w:spacing w:after="0" w:line="240" w:lineRule="auto"/>
              <w:jc w:val="right"/>
            </w:pPr>
            <w:r>
              <w:rPr>
                <w:sz w:val="18"/>
              </w:rPr>
              <w:t>107,6</w:t>
            </w:r>
          </w:p>
        </w:tc>
      </w:tr>
    </w:tbl>
    <w:p w14:paraId="26B1D292" w14:textId="77777777" w:rsidR="00161CC3" w:rsidRDefault="00161CC3">
      <w:pPr>
        <w:spacing w:after="0"/>
      </w:pPr>
    </w:p>
    <w:p w14:paraId="0EE800FC" w14:textId="77777777" w:rsidR="00161CC3" w:rsidRDefault="00000000">
      <w:r>
        <w:t>U ovoj podskupini došlo je do povećanja za 7,6% i to u najvećoj mjeri zbog isplate troškova prijevoza djelatnici s boravištem na udaljenijoj lokaciji u prvoj polovici godine.</w:t>
      </w:r>
    </w:p>
    <w:p w14:paraId="757A8422" w14:textId="77777777" w:rsidR="00161CC3" w:rsidRDefault="00000000">
      <w:r>
        <w:t> </w:t>
      </w:r>
    </w:p>
    <w:p w14:paraId="782BFC37" w14:textId="77777777" w:rsidR="00161CC3" w:rsidRDefault="00161CC3"/>
    <w:p w14:paraId="4A77D187" w14:textId="77777777" w:rsidR="00161CC3"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42C016C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ADF225"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2F67EF"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B30447"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B80A6E"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751AB7"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8EC8F5" w14:textId="77777777" w:rsidR="00161CC3" w:rsidRDefault="00000000">
            <w:pPr>
              <w:keepNext/>
              <w:keepLines/>
              <w:spacing w:after="0" w:line="240" w:lineRule="auto"/>
              <w:jc w:val="center"/>
            </w:pPr>
            <w:r>
              <w:rPr>
                <w:b/>
                <w:sz w:val="18"/>
              </w:rPr>
              <w:t>Indeks (%)</w:t>
            </w:r>
          </w:p>
        </w:tc>
      </w:tr>
      <w:tr w:rsidR="00161CC3" w14:paraId="406606FC" w14:textId="77777777">
        <w:tblPrEx>
          <w:tblCellMar>
            <w:top w:w="0" w:type="dxa"/>
            <w:bottom w:w="0" w:type="dxa"/>
          </w:tblCellMar>
        </w:tblPrEx>
        <w:trPr>
          <w:cantSplit/>
          <w:trHeight w:val="560"/>
        </w:trPr>
        <w:tc>
          <w:tcPr>
            <w:tcW w:w="700" w:type="dxa"/>
            <w:tcMar>
              <w:top w:w="0" w:type="dxa"/>
              <w:bottom w:w="0" w:type="dxa"/>
            </w:tcMar>
            <w:vAlign w:val="center"/>
          </w:tcPr>
          <w:p w14:paraId="5E35A2FB" w14:textId="77777777" w:rsidR="00161CC3" w:rsidRDefault="00000000">
            <w:pPr>
              <w:keepNext/>
              <w:keepLines/>
              <w:spacing w:after="0" w:line="240" w:lineRule="auto"/>
            </w:pPr>
            <w:r>
              <w:rPr>
                <w:sz w:val="18"/>
              </w:rPr>
              <w:t>322</w:t>
            </w:r>
          </w:p>
        </w:tc>
        <w:tc>
          <w:tcPr>
            <w:tcW w:w="3180" w:type="dxa"/>
            <w:tcMar>
              <w:top w:w="0" w:type="dxa"/>
              <w:bottom w:w="0" w:type="dxa"/>
            </w:tcMar>
            <w:vAlign w:val="center"/>
          </w:tcPr>
          <w:p w14:paraId="4ABA7237" w14:textId="77777777" w:rsidR="00161CC3" w:rsidRDefault="00000000">
            <w:pPr>
              <w:keepNext/>
              <w:keepLines/>
              <w:spacing w:after="0" w:line="240" w:lineRule="auto"/>
            </w:pPr>
            <w:r>
              <w:rPr>
                <w:sz w:val="18"/>
              </w:rPr>
              <w:t>Rashodi za materijal i energiju (šifre 3221 do 3227)</w:t>
            </w:r>
          </w:p>
        </w:tc>
        <w:tc>
          <w:tcPr>
            <w:tcW w:w="700" w:type="dxa"/>
            <w:tcMar>
              <w:top w:w="0" w:type="dxa"/>
              <w:bottom w:w="0" w:type="dxa"/>
            </w:tcMar>
            <w:vAlign w:val="center"/>
          </w:tcPr>
          <w:p w14:paraId="6DBC8B8F" w14:textId="77777777" w:rsidR="00161CC3" w:rsidRDefault="00000000">
            <w:pPr>
              <w:keepNext/>
              <w:keepLines/>
              <w:spacing w:after="0" w:line="240" w:lineRule="auto"/>
            </w:pPr>
            <w:r>
              <w:rPr>
                <w:sz w:val="18"/>
              </w:rPr>
              <w:t>322</w:t>
            </w:r>
          </w:p>
        </w:tc>
        <w:tc>
          <w:tcPr>
            <w:tcW w:w="1860" w:type="dxa"/>
            <w:tcMar>
              <w:top w:w="0" w:type="dxa"/>
              <w:bottom w:w="0" w:type="dxa"/>
            </w:tcMar>
            <w:vAlign w:val="center"/>
          </w:tcPr>
          <w:p w14:paraId="7542D625" w14:textId="77777777" w:rsidR="00161CC3" w:rsidRDefault="00000000">
            <w:pPr>
              <w:keepNext/>
              <w:keepLines/>
              <w:spacing w:after="0" w:line="240" w:lineRule="auto"/>
              <w:jc w:val="right"/>
            </w:pPr>
            <w:r>
              <w:rPr>
                <w:sz w:val="18"/>
              </w:rPr>
              <w:t>286.654,71</w:t>
            </w:r>
          </w:p>
        </w:tc>
        <w:tc>
          <w:tcPr>
            <w:tcW w:w="1860" w:type="dxa"/>
            <w:tcMar>
              <w:top w:w="0" w:type="dxa"/>
              <w:bottom w:w="0" w:type="dxa"/>
            </w:tcMar>
            <w:vAlign w:val="center"/>
          </w:tcPr>
          <w:p w14:paraId="201E4A8C" w14:textId="77777777" w:rsidR="00161CC3" w:rsidRDefault="00000000">
            <w:pPr>
              <w:keepNext/>
              <w:keepLines/>
              <w:spacing w:after="0" w:line="240" w:lineRule="auto"/>
              <w:jc w:val="right"/>
            </w:pPr>
            <w:r>
              <w:rPr>
                <w:sz w:val="18"/>
              </w:rPr>
              <w:t>325.221,68</w:t>
            </w:r>
          </w:p>
        </w:tc>
        <w:tc>
          <w:tcPr>
            <w:tcW w:w="700" w:type="dxa"/>
            <w:tcMar>
              <w:top w:w="0" w:type="dxa"/>
              <w:bottom w:w="0" w:type="dxa"/>
            </w:tcMar>
            <w:vAlign w:val="center"/>
          </w:tcPr>
          <w:p w14:paraId="451E8F23" w14:textId="77777777" w:rsidR="00161CC3" w:rsidRDefault="00000000">
            <w:pPr>
              <w:keepNext/>
              <w:keepLines/>
              <w:spacing w:after="0" w:line="240" w:lineRule="auto"/>
              <w:jc w:val="right"/>
            </w:pPr>
            <w:r>
              <w:rPr>
                <w:sz w:val="18"/>
              </w:rPr>
              <w:t>113,5</w:t>
            </w:r>
          </w:p>
        </w:tc>
      </w:tr>
    </w:tbl>
    <w:p w14:paraId="2526C026" w14:textId="77777777" w:rsidR="00161CC3" w:rsidRDefault="00161CC3">
      <w:pPr>
        <w:spacing w:after="0"/>
      </w:pPr>
    </w:p>
    <w:p w14:paraId="5AA63A09" w14:textId="77777777" w:rsidR="00161CC3" w:rsidRDefault="00000000">
      <w:r>
        <w:lastRenderedPageBreak/>
        <w:t xml:space="preserve">U ovoj podskupini primjetno je povećanje za 13,5% ili 38.566,97 EUR u odnosu na ostvarenje prethodne godine, a uglavnom se odnosi na povećanje troškova energije te na nabavu didaktičkog materijala u sklopu realizacije projekta gradnje i opremanja nove zgrade dječjeg vrtića na </w:t>
      </w:r>
      <w:proofErr w:type="spellStart"/>
      <w:r>
        <w:t>Vinežu</w:t>
      </w:r>
      <w:proofErr w:type="spellEnd"/>
      <w:r>
        <w:t>.</w:t>
      </w:r>
    </w:p>
    <w:p w14:paraId="360D4901" w14:textId="77777777" w:rsidR="00161CC3" w:rsidRDefault="00000000">
      <w:r>
        <w:t> </w:t>
      </w:r>
    </w:p>
    <w:p w14:paraId="36B68E1F" w14:textId="77777777" w:rsidR="00161CC3" w:rsidRDefault="00161CC3"/>
    <w:p w14:paraId="1476FE2D" w14:textId="77777777" w:rsidR="00161CC3"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33C485D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01BFB1"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23BDBF"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33170F"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089002"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A899CC8"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506877" w14:textId="77777777" w:rsidR="00161CC3" w:rsidRDefault="00000000">
            <w:pPr>
              <w:keepNext/>
              <w:keepLines/>
              <w:spacing w:after="0" w:line="240" w:lineRule="auto"/>
              <w:jc w:val="center"/>
            </w:pPr>
            <w:r>
              <w:rPr>
                <w:b/>
                <w:sz w:val="18"/>
              </w:rPr>
              <w:t>Indeks (%)</w:t>
            </w:r>
          </w:p>
        </w:tc>
      </w:tr>
      <w:tr w:rsidR="00161CC3" w14:paraId="67DC91BB" w14:textId="77777777">
        <w:tblPrEx>
          <w:tblCellMar>
            <w:top w:w="0" w:type="dxa"/>
            <w:bottom w:w="0" w:type="dxa"/>
          </w:tblCellMar>
        </w:tblPrEx>
        <w:trPr>
          <w:cantSplit/>
          <w:trHeight w:val="560"/>
        </w:trPr>
        <w:tc>
          <w:tcPr>
            <w:tcW w:w="700" w:type="dxa"/>
            <w:tcMar>
              <w:top w:w="0" w:type="dxa"/>
              <w:bottom w:w="0" w:type="dxa"/>
            </w:tcMar>
            <w:vAlign w:val="center"/>
          </w:tcPr>
          <w:p w14:paraId="154F05BD" w14:textId="77777777" w:rsidR="00161CC3" w:rsidRDefault="00000000">
            <w:pPr>
              <w:keepNext/>
              <w:keepLines/>
              <w:spacing w:after="0" w:line="240" w:lineRule="auto"/>
            </w:pPr>
            <w:r>
              <w:rPr>
                <w:sz w:val="18"/>
              </w:rPr>
              <w:t>323</w:t>
            </w:r>
          </w:p>
        </w:tc>
        <w:tc>
          <w:tcPr>
            <w:tcW w:w="3180" w:type="dxa"/>
            <w:tcMar>
              <w:top w:w="0" w:type="dxa"/>
              <w:bottom w:w="0" w:type="dxa"/>
            </w:tcMar>
            <w:vAlign w:val="center"/>
          </w:tcPr>
          <w:p w14:paraId="139BD078" w14:textId="77777777" w:rsidR="00161CC3" w:rsidRDefault="00000000">
            <w:pPr>
              <w:keepNext/>
              <w:keepLines/>
              <w:spacing w:after="0" w:line="240" w:lineRule="auto"/>
            </w:pPr>
            <w:r>
              <w:rPr>
                <w:sz w:val="18"/>
              </w:rPr>
              <w:t>Rashodi za usluge (šifre 3231 do 3239)</w:t>
            </w:r>
          </w:p>
        </w:tc>
        <w:tc>
          <w:tcPr>
            <w:tcW w:w="700" w:type="dxa"/>
            <w:tcMar>
              <w:top w:w="0" w:type="dxa"/>
              <w:bottom w:w="0" w:type="dxa"/>
            </w:tcMar>
            <w:vAlign w:val="center"/>
          </w:tcPr>
          <w:p w14:paraId="5B9956E5" w14:textId="77777777" w:rsidR="00161CC3" w:rsidRDefault="00000000">
            <w:pPr>
              <w:keepNext/>
              <w:keepLines/>
              <w:spacing w:after="0" w:line="240" w:lineRule="auto"/>
            </w:pPr>
            <w:r>
              <w:rPr>
                <w:sz w:val="18"/>
              </w:rPr>
              <w:t>323</w:t>
            </w:r>
          </w:p>
        </w:tc>
        <w:tc>
          <w:tcPr>
            <w:tcW w:w="1860" w:type="dxa"/>
            <w:tcMar>
              <w:top w:w="0" w:type="dxa"/>
              <w:bottom w:w="0" w:type="dxa"/>
            </w:tcMar>
            <w:vAlign w:val="center"/>
          </w:tcPr>
          <w:p w14:paraId="24A77E16" w14:textId="77777777" w:rsidR="00161CC3" w:rsidRDefault="00000000">
            <w:pPr>
              <w:keepNext/>
              <w:keepLines/>
              <w:spacing w:after="0" w:line="240" w:lineRule="auto"/>
              <w:jc w:val="right"/>
            </w:pPr>
            <w:r>
              <w:rPr>
                <w:sz w:val="18"/>
              </w:rPr>
              <w:t>3.272.934,33</w:t>
            </w:r>
          </w:p>
        </w:tc>
        <w:tc>
          <w:tcPr>
            <w:tcW w:w="1860" w:type="dxa"/>
            <w:tcMar>
              <w:top w:w="0" w:type="dxa"/>
              <w:bottom w:w="0" w:type="dxa"/>
            </w:tcMar>
            <w:vAlign w:val="center"/>
          </w:tcPr>
          <w:p w14:paraId="489CE53D" w14:textId="77777777" w:rsidR="00161CC3" w:rsidRDefault="00000000">
            <w:pPr>
              <w:keepNext/>
              <w:keepLines/>
              <w:spacing w:after="0" w:line="240" w:lineRule="auto"/>
              <w:jc w:val="right"/>
            </w:pPr>
            <w:r>
              <w:rPr>
                <w:sz w:val="18"/>
              </w:rPr>
              <w:t>3.473.109,55</w:t>
            </w:r>
          </w:p>
        </w:tc>
        <w:tc>
          <w:tcPr>
            <w:tcW w:w="700" w:type="dxa"/>
            <w:tcMar>
              <w:top w:w="0" w:type="dxa"/>
              <w:bottom w:w="0" w:type="dxa"/>
            </w:tcMar>
            <w:vAlign w:val="center"/>
          </w:tcPr>
          <w:p w14:paraId="4613276E" w14:textId="77777777" w:rsidR="00161CC3" w:rsidRDefault="00000000">
            <w:pPr>
              <w:keepNext/>
              <w:keepLines/>
              <w:spacing w:after="0" w:line="240" w:lineRule="auto"/>
              <w:jc w:val="right"/>
            </w:pPr>
            <w:r>
              <w:rPr>
                <w:sz w:val="18"/>
              </w:rPr>
              <w:t>106,1</w:t>
            </w:r>
          </w:p>
        </w:tc>
      </w:tr>
    </w:tbl>
    <w:p w14:paraId="13CFACEB" w14:textId="77777777" w:rsidR="00161CC3" w:rsidRDefault="00161CC3">
      <w:pPr>
        <w:spacing w:after="0"/>
      </w:pPr>
    </w:p>
    <w:p w14:paraId="2129821F" w14:textId="77777777" w:rsidR="00161CC3" w:rsidRDefault="00000000">
      <w:r>
        <w:t>Unutar ove podskupine primjetno je povećanje za 200.175,22 EUR ili 6,1%, a najviše se odnosi na povećanje rashoda za sanaciju krova zgrade gradske uprave, održavanje nerazvrstanih cesta, zatim redovno održavanje staza, stepenica i ograda na javnim površinama, održavanje i nabava urbane opreme, održavanje sportske dvorane.</w:t>
      </w:r>
    </w:p>
    <w:p w14:paraId="5071B56E" w14:textId="77777777" w:rsidR="00161CC3" w:rsidRDefault="00000000">
      <w:r>
        <w:t>Nadalje, do ukupnog povećanja došlo je i zbog povećanja troškova komunalnih usluga i to za sanaciju divljih i postojećih deponija, redovno održavanje javnih zelenih površina, održavanje čistoće javnih površina, zatim zbog povećanja troškova pričuve za stambene i poslovne prostore, zdravstvenih i veterinarskih usluga za zbrinjavanje i liječenje životinja na području grada, usluge promidžbe i informiranja, intelektualne i osobne usluge za koje se povećanje odnosi na izradu projektnih i drugih dokumentacija, ali i na angažmane povodom manifestacija.</w:t>
      </w:r>
    </w:p>
    <w:p w14:paraId="354A1275" w14:textId="77777777" w:rsidR="00161CC3" w:rsidRDefault="00000000">
      <w:r>
        <w:t>Ujedno je primjetno da su usluge poštarine smanjene, budući su prethodne godine u promatranom periodu zabilježeni povećani troškovi radi slanja rješenja za komunalnu naknadu.</w:t>
      </w:r>
    </w:p>
    <w:p w14:paraId="75B2CFA4" w14:textId="77777777" w:rsidR="00161CC3" w:rsidRDefault="00161CC3"/>
    <w:p w14:paraId="67D4CF2C" w14:textId="77777777" w:rsidR="00161CC3"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45AC9B5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1CA9EB"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AF7B87"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22DE1C"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AF9982"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A0F90D"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7F45FB" w14:textId="77777777" w:rsidR="00161CC3" w:rsidRDefault="00000000">
            <w:pPr>
              <w:keepNext/>
              <w:keepLines/>
              <w:spacing w:after="0" w:line="240" w:lineRule="auto"/>
              <w:jc w:val="center"/>
            </w:pPr>
            <w:r>
              <w:rPr>
                <w:b/>
                <w:sz w:val="18"/>
              </w:rPr>
              <w:t>Indeks (%)</w:t>
            </w:r>
          </w:p>
        </w:tc>
      </w:tr>
      <w:tr w:rsidR="00161CC3" w14:paraId="68F23636" w14:textId="77777777">
        <w:tblPrEx>
          <w:tblCellMar>
            <w:top w:w="0" w:type="dxa"/>
            <w:bottom w:w="0" w:type="dxa"/>
          </w:tblCellMar>
        </w:tblPrEx>
        <w:trPr>
          <w:cantSplit/>
          <w:trHeight w:val="560"/>
        </w:trPr>
        <w:tc>
          <w:tcPr>
            <w:tcW w:w="700" w:type="dxa"/>
            <w:tcMar>
              <w:top w:w="0" w:type="dxa"/>
              <w:bottom w:w="0" w:type="dxa"/>
            </w:tcMar>
            <w:vAlign w:val="center"/>
          </w:tcPr>
          <w:p w14:paraId="09D0BE90" w14:textId="77777777" w:rsidR="00161CC3" w:rsidRDefault="00000000">
            <w:pPr>
              <w:keepNext/>
              <w:keepLines/>
              <w:spacing w:after="0" w:line="240" w:lineRule="auto"/>
            </w:pPr>
            <w:r>
              <w:rPr>
                <w:sz w:val="18"/>
              </w:rPr>
              <w:t>324</w:t>
            </w:r>
          </w:p>
        </w:tc>
        <w:tc>
          <w:tcPr>
            <w:tcW w:w="3180" w:type="dxa"/>
            <w:tcMar>
              <w:top w:w="0" w:type="dxa"/>
              <w:bottom w:w="0" w:type="dxa"/>
            </w:tcMar>
            <w:vAlign w:val="center"/>
          </w:tcPr>
          <w:p w14:paraId="282B5F40" w14:textId="77777777" w:rsidR="00161CC3" w:rsidRDefault="00000000">
            <w:pPr>
              <w:keepNext/>
              <w:keepLines/>
              <w:spacing w:after="0" w:line="240" w:lineRule="auto"/>
            </w:pPr>
            <w:r>
              <w:rPr>
                <w:sz w:val="18"/>
              </w:rPr>
              <w:t>Naknade troškova osobama izvan radnog odnosa</w:t>
            </w:r>
          </w:p>
        </w:tc>
        <w:tc>
          <w:tcPr>
            <w:tcW w:w="700" w:type="dxa"/>
            <w:tcMar>
              <w:top w:w="0" w:type="dxa"/>
              <w:bottom w:w="0" w:type="dxa"/>
            </w:tcMar>
            <w:vAlign w:val="center"/>
          </w:tcPr>
          <w:p w14:paraId="22F1D1EC" w14:textId="77777777" w:rsidR="00161CC3" w:rsidRDefault="00000000">
            <w:pPr>
              <w:keepNext/>
              <w:keepLines/>
              <w:spacing w:after="0" w:line="240" w:lineRule="auto"/>
            </w:pPr>
            <w:r>
              <w:rPr>
                <w:sz w:val="18"/>
              </w:rPr>
              <w:t>324</w:t>
            </w:r>
          </w:p>
        </w:tc>
        <w:tc>
          <w:tcPr>
            <w:tcW w:w="1860" w:type="dxa"/>
            <w:tcMar>
              <w:top w:w="0" w:type="dxa"/>
              <w:bottom w:w="0" w:type="dxa"/>
            </w:tcMar>
            <w:vAlign w:val="center"/>
          </w:tcPr>
          <w:p w14:paraId="320F2300" w14:textId="77777777" w:rsidR="00161CC3" w:rsidRDefault="00000000">
            <w:pPr>
              <w:keepNext/>
              <w:keepLines/>
              <w:spacing w:after="0" w:line="240" w:lineRule="auto"/>
              <w:jc w:val="right"/>
            </w:pPr>
            <w:r>
              <w:rPr>
                <w:sz w:val="18"/>
              </w:rPr>
              <w:t>5.550,65</w:t>
            </w:r>
          </w:p>
        </w:tc>
        <w:tc>
          <w:tcPr>
            <w:tcW w:w="1860" w:type="dxa"/>
            <w:tcMar>
              <w:top w:w="0" w:type="dxa"/>
              <w:bottom w:w="0" w:type="dxa"/>
            </w:tcMar>
            <w:vAlign w:val="center"/>
          </w:tcPr>
          <w:p w14:paraId="09BE8FCB" w14:textId="77777777" w:rsidR="00161CC3" w:rsidRDefault="00000000">
            <w:pPr>
              <w:keepNext/>
              <w:keepLines/>
              <w:spacing w:after="0" w:line="240" w:lineRule="auto"/>
              <w:jc w:val="right"/>
            </w:pPr>
            <w:r>
              <w:rPr>
                <w:sz w:val="18"/>
              </w:rPr>
              <w:t>2.905,08</w:t>
            </w:r>
          </w:p>
        </w:tc>
        <w:tc>
          <w:tcPr>
            <w:tcW w:w="700" w:type="dxa"/>
            <w:tcMar>
              <w:top w:w="0" w:type="dxa"/>
              <w:bottom w:w="0" w:type="dxa"/>
            </w:tcMar>
            <w:vAlign w:val="center"/>
          </w:tcPr>
          <w:p w14:paraId="6E9F1B96" w14:textId="77777777" w:rsidR="00161CC3" w:rsidRDefault="00000000">
            <w:pPr>
              <w:keepNext/>
              <w:keepLines/>
              <w:spacing w:after="0" w:line="240" w:lineRule="auto"/>
              <w:jc w:val="right"/>
            </w:pPr>
            <w:r>
              <w:rPr>
                <w:sz w:val="18"/>
              </w:rPr>
              <w:t>52,3</w:t>
            </w:r>
          </w:p>
        </w:tc>
      </w:tr>
    </w:tbl>
    <w:p w14:paraId="2F16A509" w14:textId="77777777" w:rsidR="00161CC3" w:rsidRDefault="00161CC3">
      <w:pPr>
        <w:spacing w:after="0"/>
      </w:pPr>
    </w:p>
    <w:p w14:paraId="12C627EF" w14:textId="77777777" w:rsidR="00161CC3" w:rsidRDefault="00000000">
      <w:r>
        <w:t>Smanjenje u odnosu na isto razdoblje prethodne godine u iznosu od -2.645,57 EUR ili 47,7% bilježi se kod troškova za službena putovanja osobama izvan radnog odnosa budući je prethodne godine plaćen boravak osoba koje su sudjelovale u realizaciji projekta CICERO.</w:t>
      </w:r>
    </w:p>
    <w:p w14:paraId="56F6B13F" w14:textId="77777777" w:rsidR="00161CC3" w:rsidRDefault="00000000">
      <w:r>
        <w:t> </w:t>
      </w:r>
    </w:p>
    <w:p w14:paraId="50FAAB48" w14:textId="77777777" w:rsidR="00161CC3" w:rsidRDefault="00161CC3"/>
    <w:p w14:paraId="3B89CA7D" w14:textId="77777777" w:rsidR="00161CC3" w:rsidRDefault="00000000">
      <w:pPr>
        <w:keepNext/>
        <w:spacing w:line="240" w:lineRule="auto"/>
        <w:jc w:val="center"/>
      </w:pPr>
      <w:r>
        <w:rPr>
          <w:sz w:val="28"/>
        </w:rPr>
        <w:lastRenderedPageBreak/>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680969A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29F561"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4B74727"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3196DC"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753AC9"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5CE1B9"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4C5299" w14:textId="77777777" w:rsidR="00161CC3" w:rsidRDefault="00000000">
            <w:pPr>
              <w:keepNext/>
              <w:keepLines/>
              <w:spacing w:after="0" w:line="240" w:lineRule="auto"/>
              <w:jc w:val="center"/>
            </w:pPr>
            <w:r>
              <w:rPr>
                <w:b/>
                <w:sz w:val="18"/>
              </w:rPr>
              <w:t>Indeks (%)</w:t>
            </w:r>
          </w:p>
        </w:tc>
      </w:tr>
      <w:tr w:rsidR="00161CC3" w14:paraId="6112C814" w14:textId="77777777">
        <w:tblPrEx>
          <w:tblCellMar>
            <w:top w:w="0" w:type="dxa"/>
            <w:bottom w:w="0" w:type="dxa"/>
          </w:tblCellMar>
        </w:tblPrEx>
        <w:trPr>
          <w:cantSplit/>
          <w:trHeight w:val="560"/>
        </w:trPr>
        <w:tc>
          <w:tcPr>
            <w:tcW w:w="700" w:type="dxa"/>
            <w:tcMar>
              <w:top w:w="0" w:type="dxa"/>
              <w:bottom w:w="0" w:type="dxa"/>
            </w:tcMar>
            <w:vAlign w:val="center"/>
          </w:tcPr>
          <w:p w14:paraId="4C265294" w14:textId="77777777" w:rsidR="00161CC3" w:rsidRDefault="00000000">
            <w:pPr>
              <w:keepNext/>
              <w:keepLines/>
              <w:spacing w:after="0" w:line="240" w:lineRule="auto"/>
            </w:pPr>
            <w:r>
              <w:rPr>
                <w:sz w:val="18"/>
              </w:rPr>
              <w:t>329</w:t>
            </w:r>
          </w:p>
        </w:tc>
        <w:tc>
          <w:tcPr>
            <w:tcW w:w="3180" w:type="dxa"/>
            <w:tcMar>
              <w:top w:w="0" w:type="dxa"/>
              <w:bottom w:w="0" w:type="dxa"/>
            </w:tcMar>
            <w:vAlign w:val="center"/>
          </w:tcPr>
          <w:p w14:paraId="753ADE31" w14:textId="77777777" w:rsidR="00161CC3" w:rsidRDefault="00000000">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6E6AE340" w14:textId="77777777" w:rsidR="00161CC3" w:rsidRDefault="00000000">
            <w:pPr>
              <w:keepNext/>
              <w:keepLines/>
              <w:spacing w:after="0" w:line="240" w:lineRule="auto"/>
            </w:pPr>
            <w:r>
              <w:rPr>
                <w:sz w:val="18"/>
              </w:rPr>
              <w:t>329</w:t>
            </w:r>
          </w:p>
        </w:tc>
        <w:tc>
          <w:tcPr>
            <w:tcW w:w="1860" w:type="dxa"/>
            <w:tcMar>
              <w:top w:w="0" w:type="dxa"/>
              <w:bottom w:w="0" w:type="dxa"/>
            </w:tcMar>
            <w:vAlign w:val="center"/>
          </w:tcPr>
          <w:p w14:paraId="159D0C5B" w14:textId="77777777" w:rsidR="00161CC3" w:rsidRDefault="00000000">
            <w:pPr>
              <w:keepNext/>
              <w:keepLines/>
              <w:spacing w:after="0" w:line="240" w:lineRule="auto"/>
              <w:jc w:val="right"/>
            </w:pPr>
            <w:r>
              <w:rPr>
                <w:sz w:val="18"/>
              </w:rPr>
              <w:t>192.881,07</w:t>
            </w:r>
          </w:p>
        </w:tc>
        <w:tc>
          <w:tcPr>
            <w:tcW w:w="1860" w:type="dxa"/>
            <w:tcMar>
              <w:top w:w="0" w:type="dxa"/>
              <w:bottom w:w="0" w:type="dxa"/>
            </w:tcMar>
            <w:vAlign w:val="center"/>
          </w:tcPr>
          <w:p w14:paraId="44EFCD82" w14:textId="77777777" w:rsidR="00161CC3" w:rsidRDefault="00000000">
            <w:pPr>
              <w:keepNext/>
              <w:keepLines/>
              <w:spacing w:after="0" w:line="240" w:lineRule="auto"/>
              <w:jc w:val="right"/>
            </w:pPr>
            <w:r>
              <w:rPr>
                <w:sz w:val="18"/>
              </w:rPr>
              <w:t>268.260,78</w:t>
            </w:r>
          </w:p>
        </w:tc>
        <w:tc>
          <w:tcPr>
            <w:tcW w:w="700" w:type="dxa"/>
            <w:tcMar>
              <w:top w:w="0" w:type="dxa"/>
              <w:bottom w:w="0" w:type="dxa"/>
            </w:tcMar>
            <w:vAlign w:val="center"/>
          </w:tcPr>
          <w:p w14:paraId="3EABD4E2" w14:textId="77777777" w:rsidR="00161CC3" w:rsidRDefault="00000000">
            <w:pPr>
              <w:keepNext/>
              <w:keepLines/>
              <w:spacing w:after="0" w:line="240" w:lineRule="auto"/>
              <w:jc w:val="right"/>
            </w:pPr>
            <w:r>
              <w:rPr>
                <w:sz w:val="18"/>
              </w:rPr>
              <w:t>139,1</w:t>
            </w:r>
          </w:p>
        </w:tc>
      </w:tr>
    </w:tbl>
    <w:p w14:paraId="28928946" w14:textId="77777777" w:rsidR="00161CC3" w:rsidRDefault="00161CC3">
      <w:pPr>
        <w:spacing w:after="0"/>
      </w:pPr>
    </w:p>
    <w:p w14:paraId="18A90C63" w14:textId="77777777" w:rsidR="00161CC3" w:rsidRDefault="00000000">
      <w:r>
        <w:t>Povećanje od 39,1% u odnosu na isto razdoblje prethodne godine najvećim se dijelom odnosi na isplate naknade članovi biračkih odbora za provedbu lokalnih izbora.</w:t>
      </w:r>
    </w:p>
    <w:p w14:paraId="284CF028" w14:textId="77777777" w:rsidR="00161CC3" w:rsidRDefault="00000000">
      <w:r>
        <w:t>Nadalje, povećanje se odnosi i na povećanje vijećničkih naknada od početka 2025. godine te na plaćanje premija novougovorenih osiguranja.</w:t>
      </w:r>
    </w:p>
    <w:p w14:paraId="2AA5FF3B" w14:textId="77777777" w:rsidR="00161CC3" w:rsidRDefault="00000000">
      <w:r>
        <w:t> </w:t>
      </w:r>
    </w:p>
    <w:p w14:paraId="3D3D45F6" w14:textId="77777777" w:rsidR="00161CC3" w:rsidRDefault="00161CC3"/>
    <w:p w14:paraId="72B1CBCD" w14:textId="77777777" w:rsidR="00161CC3"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5A8AE6E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E464B8"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F8BA64"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13561D"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DB4A75"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C465FC"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895B93" w14:textId="77777777" w:rsidR="00161CC3" w:rsidRDefault="00000000">
            <w:pPr>
              <w:keepNext/>
              <w:keepLines/>
              <w:spacing w:after="0" w:line="240" w:lineRule="auto"/>
              <w:jc w:val="center"/>
            </w:pPr>
            <w:r>
              <w:rPr>
                <w:b/>
                <w:sz w:val="18"/>
              </w:rPr>
              <w:t>Indeks (%)</w:t>
            </w:r>
          </w:p>
        </w:tc>
      </w:tr>
      <w:tr w:rsidR="00161CC3" w14:paraId="6A5E68E2" w14:textId="77777777">
        <w:tblPrEx>
          <w:tblCellMar>
            <w:top w:w="0" w:type="dxa"/>
            <w:bottom w:w="0" w:type="dxa"/>
          </w:tblCellMar>
        </w:tblPrEx>
        <w:trPr>
          <w:cantSplit/>
          <w:trHeight w:val="560"/>
        </w:trPr>
        <w:tc>
          <w:tcPr>
            <w:tcW w:w="700" w:type="dxa"/>
            <w:tcMar>
              <w:top w:w="0" w:type="dxa"/>
              <w:bottom w:w="0" w:type="dxa"/>
            </w:tcMar>
            <w:vAlign w:val="center"/>
          </w:tcPr>
          <w:p w14:paraId="1DC7FC5D" w14:textId="77777777" w:rsidR="00161CC3" w:rsidRDefault="00000000">
            <w:pPr>
              <w:keepNext/>
              <w:keepLines/>
              <w:spacing w:after="0" w:line="240" w:lineRule="auto"/>
            </w:pPr>
            <w:r>
              <w:rPr>
                <w:sz w:val="18"/>
              </w:rPr>
              <w:t>34</w:t>
            </w:r>
          </w:p>
        </w:tc>
        <w:tc>
          <w:tcPr>
            <w:tcW w:w="3180" w:type="dxa"/>
            <w:tcMar>
              <w:top w:w="0" w:type="dxa"/>
              <w:bottom w:w="0" w:type="dxa"/>
            </w:tcMar>
            <w:vAlign w:val="center"/>
          </w:tcPr>
          <w:p w14:paraId="1C293F39" w14:textId="77777777" w:rsidR="00161CC3"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756B3376" w14:textId="77777777" w:rsidR="00161CC3" w:rsidRDefault="00000000">
            <w:pPr>
              <w:keepNext/>
              <w:keepLines/>
              <w:spacing w:after="0" w:line="240" w:lineRule="auto"/>
            </w:pPr>
            <w:r>
              <w:rPr>
                <w:sz w:val="18"/>
              </w:rPr>
              <w:t>34</w:t>
            </w:r>
          </w:p>
        </w:tc>
        <w:tc>
          <w:tcPr>
            <w:tcW w:w="1860" w:type="dxa"/>
            <w:tcMar>
              <w:top w:w="0" w:type="dxa"/>
              <w:bottom w:w="0" w:type="dxa"/>
            </w:tcMar>
            <w:vAlign w:val="center"/>
          </w:tcPr>
          <w:p w14:paraId="2CA23A31" w14:textId="77777777" w:rsidR="00161CC3" w:rsidRDefault="00000000">
            <w:pPr>
              <w:keepNext/>
              <w:keepLines/>
              <w:spacing w:after="0" w:line="240" w:lineRule="auto"/>
              <w:jc w:val="right"/>
            </w:pPr>
            <w:r>
              <w:rPr>
                <w:sz w:val="18"/>
              </w:rPr>
              <w:t>99.016,87</w:t>
            </w:r>
          </w:p>
        </w:tc>
        <w:tc>
          <w:tcPr>
            <w:tcW w:w="1860" w:type="dxa"/>
            <w:tcMar>
              <w:top w:w="0" w:type="dxa"/>
              <w:bottom w:w="0" w:type="dxa"/>
            </w:tcMar>
            <w:vAlign w:val="center"/>
          </w:tcPr>
          <w:p w14:paraId="669F3B3F" w14:textId="77777777" w:rsidR="00161CC3" w:rsidRDefault="00000000">
            <w:pPr>
              <w:keepNext/>
              <w:keepLines/>
              <w:spacing w:after="0" w:line="240" w:lineRule="auto"/>
              <w:jc w:val="right"/>
            </w:pPr>
            <w:r>
              <w:rPr>
                <w:sz w:val="18"/>
              </w:rPr>
              <w:t>100.692,83</w:t>
            </w:r>
          </w:p>
        </w:tc>
        <w:tc>
          <w:tcPr>
            <w:tcW w:w="700" w:type="dxa"/>
            <w:tcMar>
              <w:top w:w="0" w:type="dxa"/>
              <w:bottom w:w="0" w:type="dxa"/>
            </w:tcMar>
            <w:vAlign w:val="center"/>
          </w:tcPr>
          <w:p w14:paraId="05B0CABD" w14:textId="77777777" w:rsidR="00161CC3" w:rsidRDefault="00000000">
            <w:pPr>
              <w:keepNext/>
              <w:keepLines/>
              <w:spacing w:after="0" w:line="240" w:lineRule="auto"/>
              <w:jc w:val="right"/>
            </w:pPr>
            <w:r>
              <w:rPr>
                <w:sz w:val="18"/>
              </w:rPr>
              <w:t>101,7</w:t>
            </w:r>
          </w:p>
        </w:tc>
      </w:tr>
    </w:tbl>
    <w:p w14:paraId="42EA9718" w14:textId="77777777" w:rsidR="00161CC3" w:rsidRDefault="00161CC3">
      <w:pPr>
        <w:spacing w:after="0"/>
      </w:pPr>
    </w:p>
    <w:p w14:paraId="3CB34A43" w14:textId="77777777" w:rsidR="00161CC3" w:rsidRDefault="00000000">
      <w:r>
        <w:t>Ukupni financijski rashodi su povećani za 1,7% u odnosu na isto razdoblje prethodne godine, ali je unutar skupine došlo do smanjenja rashoda za kamate na kredite budući se glavnice kredita smanjuju, a do povećanja je došlo kod ostalih financijskih rashoda, što se uglavnom odnosi na povećanje cijena bankarskih usluga, te zbog povećanja troškova naknada Istarskoj županiji za poslove obračuna i naplate iznosa poreza na kuće za odmor i poreza na potrošnju za Grad Labin, a s obzirom na povećanje iznosa ukupno naplaćenog poreza na kuće za odmor te zbog poticajne naknade Fonda za zaštitu okoliša i energetsku učinkovitost koja je u 2025. godini obračunata značajnije više nego prethodne godine. </w:t>
      </w:r>
    </w:p>
    <w:p w14:paraId="4534BE50" w14:textId="77777777" w:rsidR="00161CC3" w:rsidRDefault="00161CC3"/>
    <w:p w14:paraId="1375D1F7" w14:textId="77777777" w:rsidR="00161CC3"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7555F6A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04AE79"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A62536"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EE4682"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13C46A"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62F284"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FEB440" w14:textId="77777777" w:rsidR="00161CC3" w:rsidRDefault="00000000">
            <w:pPr>
              <w:keepNext/>
              <w:keepLines/>
              <w:spacing w:after="0" w:line="240" w:lineRule="auto"/>
              <w:jc w:val="center"/>
            </w:pPr>
            <w:r>
              <w:rPr>
                <w:b/>
                <w:sz w:val="18"/>
              </w:rPr>
              <w:t>Indeks (%)</w:t>
            </w:r>
          </w:p>
        </w:tc>
      </w:tr>
      <w:tr w:rsidR="00161CC3" w14:paraId="56C73946" w14:textId="77777777">
        <w:tblPrEx>
          <w:tblCellMar>
            <w:top w:w="0" w:type="dxa"/>
            <w:bottom w:w="0" w:type="dxa"/>
          </w:tblCellMar>
        </w:tblPrEx>
        <w:trPr>
          <w:cantSplit/>
          <w:trHeight w:val="560"/>
        </w:trPr>
        <w:tc>
          <w:tcPr>
            <w:tcW w:w="700" w:type="dxa"/>
            <w:tcMar>
              <w:top w:w="0" w:type="dxa"/>
              <w:bottom w:w="0" w:type="dxa"/>
            </w:tcMar>
            <w:vAlign w:val="center"/>
          </w:tcPr>
          <w:p w14:paraId="7DE46B29" w14:textId="77777777" w:rsidR="00161CC3" w:rsidRDefault="00000000">
            <w:pPr>
              <w:keepNext/>
              <w:keepLines/>
              <w:spacing w:after="0" w:line="240" w:lineRule="auto"/>
            </w:pPr>
            <w:r>
              <w:rPr>
                <w:sz w:val="18"/>
              </w:rPr>
              <w:t>35</w:t>
            </w:r>
          </w:p>
        </w:tc>
        <w:tc>
          <w:tcPr>
            <w:tcW w:w="3180" w:type="dxa"/>
            <w:tcMar>
              <w:top w:w="0" w:type="dxa"/>
              <w:bottom w:w="0" w:type="dxa"/>
            </w:tcMar>
            <w:vAlign w:val="center"/>
          </w:tcPr>
          <w:p w14:paraId="3EF005E5" w14:textId="77777777" w:rsidR="00161CC3" w:rsidRDefault="00000000">
            <w:pPr>
              <w:keepNext/>
              <w:keepLines/>
              <w:spacing w:after="0" w:line="240" w:lineRule="auto"/>
            </w:pPr>
            <w:r>
              <w:rPr>
                <w:sz w:val="18"/>
              </w:rPr>
              <w:t>Subvencije (šifre 351+352+353)</w:t>
            </w:r>
          </w:p>
        </w:tc>
        <w:tc>
          <w:tcPr>
            <w:tcW w:w="700" w:type="dxa"/>
            <w:tcMar>
              <w:top w:w="0" w:type="dxa"/>
              <w:bottom w:w="0" w:type="dxa"/>
            </w:tcMar>
            <w:vAlign w:val="center"/>
          </w:tcPr>
          <w:p w14:paraId="191F01BA" w14:textId="77777777" w:rsidR="00161CC3" w:rsidRDefault="00000000">
            <w:pPr>
              <w:keepNext/>
              <w:keepLines/>
              <w:spacing w:after="0" w:line="240" w:lineRule="auto"/>
            </w:pPr>
            <w:r>
              <w:rPr>
                <w:sz w:val="18"/>
              </w:rPr>
              <w:t>35</w:t>
            </w:r>
          </w:p>
        </w:tc>
        <w:tc>
          <w:tcPr>
            <w:tcW w:w="1860" w:type="dxa"/>
            <w:tcMar>
              <w:top w:w="0" w:type="dxa"/>
              <w:bottom w:w="0" w:type="dxa"/>
            </w:tcMar>
            <w:vAlign w:val="center"/>
          </w:tcPr>
          <w:p w14:paraId="559206C0" w14:textId="77777777" w:rsidR="00161CC3" w:rsidRDefault="00000000">
            <w:pPr>
              <w:keepNext/>
              <w:keepLines/>
              <w:spacing w:after="0" w:line="240" w:lineRule="auto"/>
              <w:jc w:val="right"/>
            </w:pPr>
            <w:r>
              <w:rPr>
                <w:sz w:val="18"/>
              </w:rPr>
              <w:t>120.818,70</w:t>
            </w:r>
          </w:p>
        </w:tc>
        <w:tc>
          <w:tcPr>
            <w:tcW w:w="1860" w:type="dxa"/>
            <w:tcMar>
              <w:top w:w="0" w:type="dxa"/>
              <w:bottom w:w="0" w:type="dxa"/>
            </w:tcMar>
            <w:vAlign w:val="center"/>
          </w:tcPr>
          <w:p w14:paraId="5E19C6D8" w14:textId="77777777" w:rsidR="00161CC3" w:rsidRDefault="00000000">
            <w:pPr>
              <w:keepNext/>
              <w:keepLines/>
              <w:spacing w:after="0" w:line="240" w:lineRule="auto"/>
              <w:jc w:val="right"/>
            </w:pPr>
            <w:r>
              <w:rPr>
                <w:sz w:val="18"/>
              </w:rPr>
              <w:t>119.725,03</w:t>
            </w:r>
          </w:p>
        </w:tc>
        <w:tc>
          <w:tcPr>
            <w:tcW w:w="700" w:type="dxa"/>
            <w:tcMar>
              <w:top w:w="0" w:type="dxa"/>
              <w:bottom w:w="0" w:type="dxa"/>
            </w:tcMar>
            <w:vAlign w:val="center"/>
          </w:tcPr>
          <w:p w14:paraId="1DEE372B" w14:textId="77777777" w:rsidR="00161CC3" w:rsidRDefault="00000000">
            <w:pPr>
              <w:keepNext/>
              <w:keepLines/>
              <w:spacing w:after="0" w:line="240" w:lineRule="auto"/>
              <w:jc w:val="right"/>
            </w:pPr>
            <w:r>
              <w:rPr>
                <w:sz w:val="18"/>
              </w:rPr>
              <w:t>99,1</w:t>
            </w:r>
          </w:p>
        </w:tc>
      </w:tr>
    </w:tbl>
    <w:p w14:paraId="33ED054D" w14:textId="77777777" w:rsidR="00161CC3" w:rsidRDefault="00161CC3">
      <w:pPr>
        <w:spacing w:after="0"/>
      </w:pPr>
    </w:p>
    <w:p w14:paraId="26F130C4" w14:textId="77777777" w:rsidR="00161CC3" w:rsidRDefault="00000000">
      <w:r>
        <w:t>Zbog poticanja razvoja malog gospodarstva dodijeljene su bespovratne subvencije i potpora kroz veći broj mjera. Primjetno je da je u promatranom razdoblju realizirano rashoda u gotovo u istom iznosu kao i prethodne godine.</w:t>
      </w:r>
    </w:p>
    <w:p w14:paraId="0DE8A839" w14:textId="77777777" w:rsidR="00161CC3" w:rsidRDefault="00000000">
      <w:r>
        <w:t> </w:t>
      </w:r>
    </w:p>
    <w:p w14:paraId="318A3E17" w14:textId="77777777" w:rsidR="00161CC3" w:rsidRDefault="00161CC3"/>
    <w:p w14:paraId="1F7CD8B7" w14:textId="77777777" w:rsidR="00161CC3" w:rsidRDefault="00000000">
      <w:pPr>
        <w:keepNext/>
        <w:spacing w:line="240" w:lineRule="auto"/>
        <w:jc w:val="center"/>
      </w:pPr>
      <w:r>
        <w:rPr>
          <w:sz w:val="28"/>
        </w:rPr>
        <w:lastRenderedPageBreak/>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14AAEE0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92AE96"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407C9E"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F9A838"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B738B2"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06E206"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19E674" w14:textId="77777777" w:rsidR="00161CC3" w:rsidRDefault="00000000">
            <w:pPr>
              <w:keepNext/>
              <w:keepLines/>
              <w:spacing w:after="0" w:line="240" w:lineRule="auto"/>
              <w:jc w:val="center"/>
            </w:pPr>
            <w:r>
              <w:rPr>
                <w:b/>
                <w:sz w:val="18"/>
              </w:rPr>
              <w:t>Indeks (%)</w:t>
            </w:r>
          </w:p>
        </w:tc>
      </w:tr>
      <w:tr w:rsidR="00161CC3" w14:paraId="09CEDAB2" w14:textId="77777777">
        <w:tblPrEx>
          <w:tblCellMar>
            <w:top w:w="0" w:type="dxa"/>
            <w:bottom w:w="0" w:type="dxa"/>
          </w:tblCellMar>
        </w:tblPrEx>
        <w:trPr>
          <w:cantSplit/>
          <w:trHeight w:val="560"/>
        </w:trPr>
        <w:tc>
          <w:tcPr>
            <w:tcW w:w="700" w:type="dxa"/>
            <w:tcMar>
              <w:top w:w="0" w:type="dxa"/>
              <w:bottom w:w="0" w:type="dxa"/>
            </w:tcMar>
            <w:vAlign w:val="center"/>
          </w:tcPr>
          <w:p w14:paraId="7C7A15A5" w14:textId="77777777" w:rsidR="00161CC3" w:rsidRDefault="00000000">
            <w:pPr>
              <w:keepNext/>
              <w:keepLines/>
              <w:spacing w:after="0" w:line="240" w:lineRule="auto"/>
            </w:pPr>
            <w:r>
              <w:rPr>
                <w:sz w:val="18"/>
              </w:rPr>
              <w:t>363</w:t>
            </w:r>
          </w:p>
        </w:tc>
        <w:tc>
          <w:tcPr>
            <w:tcW w:w="3180" w:type="dxa"/>
            <w:tcMar>
              <w:top w:w="0" w:type="dxa"/>
              <w:bottom w:w="0" w:type="dxa"/>
            </w:tcMar>
            <w:vAlign w:val="center"/>
          </w:tcPr>
          <w:p w14:paraId="729D675B" w14:textId="77777777" w:rsidR="00161CC3" w:rsidRDefault="00000000">
            <w:pPr>
              <w:keepNext/>
              <w:keepLines/>
              <w:spacing w:after="0" w:line="240" w:lineRule="auto"/>
            </w:pPr>
            <w:r>
              <w:rPr>
                <w:sz w:val="18"/>
              </w:rPr>
              <w:t>Pomoći drugom proračunu i izvanproračunskim korisnicima (šifre 3631 do 3636)</w:t>
            </w:r>
          </w:p>
        </w:tc>
        <w:tc>
          <w:tcPr>
            <w:tcW w:w="700" w:type="dxa"/>
            <w:tcMar>
              <w:top w:w="0" w:type="dxa"/>
              <w:bottom w:w="0" w:type="dxa"/>
            </w:tcMar>
            <w:vAlign w:val="center"/>
          </w:tcPr>
          <w:p w14:paraId="1B92F72F" w14:textId="77777777" w:rsidR="00161CC3" w:rsidRDefault="00000000">
            <w:pPr>
              <w:keepNext/>
              <w:keepLines/>
              <w:spacing w:after="0" w:line="240" w:lineRule="auto"/>
            </w:pPr>
            <w:r>
              <w:rPr>
                <w:sz w:val="18"/>
              </w:rPr>
              <w:t>363</w:t>
            </w:r>
          </w:p>
        </w:tc>
        <w:tc>
          <w:tcPr>
            <w:tcW w:w="1860" w:type="dxa"/>
            <w:tcMar>
              <w:top w:w="0" w:type="dxa"/>
              <w:bottom w:w="0" w:type="dxa"/>
            </w:tcMar>
            <w:vAlign w:val="center"/>
          </w:tcPr>
          <w:p w14:paraId="702199EB" w14:textId="77777777" w:rsidR="00161CC3" w:rsidRDefault="00000000">
            <w:pPr>
              <w:keepNext/>
              <w:keepLines/>
              <w:spacing w:after="0" w:line="240" w:lineRule="auto"/>
              <w:jc w:val="right"/>
            </w:pPr>
            <w:r>
              <w:rPr>
                <w:sz w:val="18"/>
              </w:rPr>
              <w:t>29.882,85</w:t>
            </w:r>
          </w:p>
        </w:tc>
        <w:tc>
          <w:tcPr>
            <w:tcW w:w="1860" w:type="dxa"/>
            <w:tcMar>
              <w:top w:w="0" w:type="dxa"/>
              <w:bottom w:w="0" w:type="dxa"/>
            </w:tcMar>
            <w:vAlign w:val="center"/>
          </w:tcPr>
          <w:p w14:paraId="541AB006" w14:textId="77777777" w:rsidR="00161CC3" w:rsidRDefault="00000000">
            <w:pPr>
              <w:keepNext/>
              <w:keepLines/>
              <w:spacing w:after="0" w:line="240" w:lineRule="auto"/>
              <w:jc w:val="right"/>
            </w:pPr>
            <w:r>
              <w:rPr>
                <w:sz w:val="18"/>
              </w:rPr>
              <w:t>29.617,40</w:t>
            </w:r>
          </w:p>
        </w:tc>
        <w:tc>
          <w:tcPr>
            <w:tcW w:w="700" w:type="dxa"/>
            <w:tcMar>
              <w:top w:w="0" w:type="dxa"/>
              <w:bottom w:w="0" w:type="dxa"/>
            </w:tcMar>
            <w:vAlign w:val="center"/>
          </w:tcPr>
          <w:p w14:paraId="1EDFC680" w14:textId="77777777" w:rsidR="00161CC3" w:rsidRDefault="00000000">
            <w:pPr>
              <w:keepNext/>
              <w:keepLines/>
              <w:spacing w:after="0" w:line="240" w:lineRule="auto"/>
              <w:jc w:val="right"/>
            </w:pPr>
            <w:r>
              <w:rPr>
                <w:sz w:val="18"/>
              </w:rPr>
              <w:t>99,1</w:t>
            </w:r>
          </w:p>
        </w:tc>
      </w:tr>
    </w:tbl>
    <w:p w14:paraId="5FA888FF" w14:textId="77777777" w:rsidR="00161CC3" w:rsidRDefault="00161CC3">
      <w:pPr>
        <w:spacing w:after="0"/>
      </w:pPr>
    </w:p>
    <w:p w14:paraId="5F9C9087" w14:textId="77777777" w:rsidR="00161CC3" w:rsidRDefault="00000000">
      <w:r>
        <w:t>Prihodi u ovoj skupini ostvareni su u istom nivou kao prethodne godine.</w:t>
      </w:r>
    </w:p>
    <w:p w14:paraId="1461687B" w14:textId="77777777" w:rsidR="00161CC3" w:rsidRDefault="00161CC3"/>
    <w:p w14:paraId="77F1FD90" w14:textId="77777777" w:rsidR="00161CC3"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2513A9A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997713"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79CDD3"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D9DAC9"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AB47A2"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E7DA01"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A3557E" w14:textId="77777777" w:rsidR="00161CC3" w:rsidRDefault="00000000">
            <w:pPr>
              <w:keepNext/>
              <w:keepLines/>
              <w:spacing w:after="0" w:line="240" w:lineRule="auto"/>
              <w:jc w:val="center"/>
            </w:pPr>
            <w:r>
              <w:rPr>
                <w:b/>
                <w:sz w:val="18"/>
              </w:rPr>
              <w:t>Indeks (%)</w:t>
            </w:r>
          </w:p>
        </w:tc>
      </w:tr>
      <w:tr w:rsidR="00161CC3" w14:paraId="70A8D945" w14:textId="77777777">
        <w:tblPrEx>
          <w:tblCellMar>
            <w:top w:w="0" w:type="dxa"/>
            <w:bottom w:w="0" w:type="dxa"/>
          </w:tblCellMar>
        </w:tblPrEx>
        <w:trPr>
          <w:cantSplit/>
          <w:trHeight w:val="560"/>
        </w:trPr>
        <w:tc>
          <w:tcPr>
            <w:tcW w:w="700" w:type="dxa"/>
            <w:tcMar>
              <w:top w:w="0" w:type="dxa"/>
              <w:bottom w:w="0" w:type="dxa"/>
            </w:tcMar>
            <w:vAlign w:val="center"/>
          </w:tcPr>
          <w:p w14:paraId="7E602E33" w14:textId="77777777" w:rsidR="00161CC3" w:rsidRDefault="00000000">
            <w:pPr>
              <w:keepNext/>
              <w:keepLines/>
              <w:spacing w:after="0" w:line="240" w:lineRule="auto"/>
            </w:pPr>
            <w:r>
              <w:rPr>
                <w:sz w:val="18"/>
              </w:rPr>
              <w:t>366</w:t>
            </w:r>
          </w:p>
        </w:tc>
        <w:tc>
          <w:tcPr>
            <w:tcW w:w="3180" w:type="dxa"/>
            <w:tcMar>
              <w:top w:w="0" w:type="dxa"/>
              <w:bottom w:w="0" w:type="dxa"/>
            </w:tcMar>
            <w:vAlign w:val="center"/>
          </w:tcPr>
          <w:p w14:paraId="4AD9661E" w14:textId="77777777" w:rsidR="00161CC3" w:rsidRDefault="00000000">
            <w:pPr>
              <w:keepNext/>
              <w:keepLines/>
              <w:spacing w:after="0" w:line="240" w:lineRule="auto"/>
            </w:pPr>
            <w:r>
              <w:rPr>
                <w:sz w:val="18"/>
              </w:rPr>
              <w:t>Pomoći proračunskim korisnicima drugih proračuna (šifre 3661 do 3663)</w:t>
            </w:r>
          </w:p>
        </w:tc>
        <w:tc>
          <w:tcPr>
            <w:tcW w:w="700" w:type="dxa"/>
            <w:tcMar>
              <w:top w:w="0" w:type="dxa"/>
              <w:bottom w:w="0" w:type="dxa"/>
            </w:tcMar>
            <w:vAlign w:val="center"/>
          </w:tcPr>
          <w:p w14:paraId="112F7607" w14:textId="77777777" w:rsidR="00161CC3" w:rsidRDefault="00000000">
            <w:pPr>
              <w:keepNext/>
              <w:keepLines/>
              <w:spacing w:after="0" w:line="240" w:lineRule="auto"/>
            </w:pPr>
            <w:r>
              <w:rPr>
                <w:sz w:val="18"/>
              </w:rPr>
              <w:t>366</w:t>
            </w:r>
          </w:p>
        </w:tc>
        <w:tc>
          <w:tcPr>
            <w:tcW w:w="1860" w:type="dxa"/>
            <w:tcMar>
              <w:top w:w="0" w:type="dxa"/>
              <w:bottom w:w="0" w:type="dxa"/>
            </w:tcMar>
            <w:vAlign w:val="center"/>
          </w:tcPr>
          <w:p w14:paraId="64CF97F3" w14:textId="77777777" w:rsidR="00161CC3" w:rsidRDefault="00000000">
            <w:pPr>
              <w:keepNext/>
              <w:keepLines/>
              <w:spacing w:after="0" w:line="240" w:lineRule="auto"/>
              <w:jc w:val="right"/>
            </w:pPr>
            <w:r>
              <w:rPr>
                <w:sz w:val="18"/>
              </w:rPr>
              <w:t>107.870,33</w:t>
            </w:r>
          </w:p>
        </w:tc>
        <w:tc>
          <w:tcPr>
            <w:tcW w:w="1860" w:type="dxa"/>
            <w:tcMar>
              <w:top w:w="0" w:type="dxa"/>
              <w:bottom w:w="0" w:type="dxa"/>
            </w:tcMar>
            <w:vAlign w:val="center"/>
          </w:tcPr>
          <w:p w14:paraId="0B0521F8" w14:textId="77777777" w:rsidR="00161CC3" w:rsidRDefault="00000000">
            <w:pPr>
              <w:keepNext/>
              <w:keepLines/>
              <w:spacing w:after="0" w:line="240" w:lineRule="auto"/>
              <w:jc w:val="right"/>
            </w:pPr>
            <w:r>
              <w:rPr>
                <w:sz w:val="18"/>
              </w:rPr>
              <w:t>116.476,57</w:t>
            </w:r>
          </w:p>
        </w:tc>
        <w:tc>
          <w:tcPr>
            <w:tcW w:w="700" w:type="dxa"/>
            <w:tcMar>
              <w:top w:w="0" w:type="dxa"/>
              <w:bottom w:w="0" w:type="dxa"/>
            </w:tcMar>
            <w:vAlign w:val="center"/>
          </w:tcPr>
          <w:p w14:paraId="5EF4CEA8" w14:textId="77777777" w:rsidR="00161CC3" w:rsidRDefault="00000000">
            <w:pPr>
              <w:keepNext/>
              <w:keepLines/>
              <w:spacing w:after="0" w:line="240" w:lineRule="auto"/>
              <w:jc w:val="right"/>
            </w:pPr>
            <w:r>
              <w:rPr>
                <w:sz w:val="18"/>
              </w:rPr>
              <w:t>108,0</w:t>
            </w:r>
          </w:p>
        </w:tc>
      </w:tr>
    </w:tbl>
    <w:p w14:paraId="18A42EE5" w14:textId="77777777" w:rsidR="00161CC3" w:rsidRDefault="00161CC3">
      <w:pPr>
        <w:spacing w:after="0"/>
      </w:pPr>
    </w:p>
    <w:p w14:paraId="6DA7C05C" w14:textId="77777777" w:rsidR="00161CC3" w:rsidRDefault="00000000">
      <w:r>
        <w:t>U ovoj podskupini primjetno je povećanje za 8% zbog povećanja rashoda za analizu kvalitete prehrane te zbog isplate pomoći Specijalnoj bolnici Rovinj sukladno Ugovoru o sufinanciranju kreditne obaveze za opremanje i gradnju navedene bolnice.</w:t>
      </w:r>
    </w:p>
    <w:p w14:paraId="578B79F7" w14:textId="77777777" w:rsidR="00161CC3" w:rsidRDefault="00000000">
      <w:r>
        <w:t>      </w:t>
      </w:r>
    </w:p>
    <w:p w14:paraId="1CD2CBFA" w14:textId="77777777" w:rsidR="00161CC3" w:rsidRDefault="00161CC3"/>
    <w:p w14:paraId="5DE80817" w14:textId="77777777" w:rsidR="00161CC3"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4FAC37D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8B4521"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E7D69B"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20ED6B"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411E67"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382B10"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D8CFE5" w14:textId="77777777" w:rsidR="00161CC3" w:rsidRDefault="00000000">
            <w:pPr>
              <w:keepNext/>
              <w:keepLines/>
              <w:spacing w:after="0" w:line="240" w:lineRule="auto"/>
              <w:jc w:val="center"/>
            </w:pPr>
            <w:r>
              <w:rPr>
                <w:b/>
                <w:sz w:val="18"/>
              </w:rPr>
              <w:t>Indeks (%)</w:t>
            </w:r>
          </w:p>
        </w:tc>
      </w:tr>
      <w:tr w:rsidR="00161CC3" w14:paraId="56DDDD47" w14:textId="77777777">
        <w:tblPrEx>
          <w:tblCellMar>
            <w:top w:w="0" w:type="dxa"/>
            <w:bottom w:w="0" w:type="dxa"/>
          </w:tblCellMar>
        </w:tblPrEx>
        <w:trPr>
          <w:cantSplit/>
          <w:trHeight w:val="560"/>
        </w:trPr>
        <w:tc>
          <w:tcPr>
            <w:tcW w:w="700" w:type="dxa"/>
            <w:tcMar>
              <w:top w:w="0" w:type="dxa"/>
              <w:bottom w:w="0" w:type="dxa"/>
            </w:tcMar>
            <w:vAlign w:val="center"/>
          </w:tcPr>
          <w:p w14:paraId="1CE62C89" w14:textId="77777777" w:rsidR="00161CC3" w:rsidRDefault="00000000">
            <w:pPr>
              <w:keepNext/>
              <w:keepLines/>
              <w:spacing w:after="0" w:line="240" w:lineRule="auto"/>
            </w:pPr>
            <w:r>
              <w:rPr>
                <w:sz w:val="18"/>
              </w:rPr>
              <w:t>367</w:t>
            </w:r>
          </w:p>
        </w:tc>
        <w:tc>
          <w:tcPr>
            <w:tcW w:w="3180" w:type="dxa"/>
            <w:tcMar>
              <w:top w:w="0" w:type="dxa"/>
              <w:bottom w:w="0" w:type="dxa"/>
            </w:tcMar>
            <w:vAlign w:val="center"/>
          </w:tcPr>
          <w:p w14:paraId="454754EB" w14:textId="77777777" w:rsidR="00161CC3" w:rsidRDefault="00000000">
            <w:pPr>
              <w:keepNext/>
              <w:keepLines/>
              <w:spacing w:after="0" w:line="240" w:lineRule="auto"/>
            </w:pPr>
            <w:r>
              <w:rPr>
                <w:sz w:val="18"/>
              </w:rPr>
              <w:t>Prijenosi proračunskim korisnicima iz nadležnog proračuna za financiranje redovne djelatnosti (šifre 3672 do 3674)</w:t>
            </w:r>
          </w:p>
        </w:tc>
        <w:tc>
          <w:tcPr>
            <w:tcW w:w="700" w:type="dxa"/>
            <w:tcMar>
              <w:top w:w="0" w:type="dxa"/>
              <w:bottom w:w="0" w:type="dxa"/>
            </w:tcMar>
            <w:vAlign w:val="center"/>
          </w:tcPr>
          <w:p w14:paraId="5C918A58" w14:textId="77777777" w:rsidR="00161CC3" w:rsidRDefault="00000000">
            <w:pPr>
              <w:keepNext/>
              <w:keepLines/>
              <w:spacing w:after="0" w:line="240" w:lineRule="auto"/>
            </w:pPr>
            <w:r>
              <w:rPr>
                <w:sz w:val="18"/>
              </w:rPr>
              <w:t>367</w:t>
            </w:r>
          </w:p>
        </w:tc>
        <w:tc>
          <w:tcPr>
            <w:tcW w:w="1860" w:type="dxa"/>
            <w:tcMar>
              <w:top w:w="0" w:type="dxa"/>
              <w:bottom w:w="0" w:type="dxa"/>
            </w:tcMar>
            <w:vAlign w:val="center"/>
          </w:tcPr>
          <w:p w14:paraId="56753D0A" w14:textId="77777777" w:rsidR="00161CC3" w:rsidRDefault="00000000">
            <w:pPr>
              <w:keepNext/>
              <w:keepLines/>
              <w:spacing w:after="0" w:line="240" w:lineRule="auto"/>
              <w:jc w:val="right"/>
            </w:pPr>
            <w:r>
              <w:rPr>
                <w:sz w:val="18"/>
              </w:rPr>
              <w:t>4.210.840,98</w:t>
            </w:r>
          </w:p>
        </w:tc>
        <w:tc>
          <w:tcPr>
            <w:tcW w:w="1860" w:type="dxa"/>
            <w:tcMar>
              <w:top w:w="0" w:type="dxa"/>
              <w:bottom w:w="0" w:type="dxa"/>
            </w:tcMar>
            <w:vAlign w:val="center"/>
          </w:tcPr>
          <w:p w14:paraId="6AB39820" w14:textId="77777777" w:rsidR="00161CC3" w:rsidRDefault="00000000">
            <w:pPr>
              <w:keepNext/>
              <w:keepLines/>
              <w:spacing w:after="0" w:line="240" w:lineRule="auto"/>
              <w:jc w:val="right"/>
            </w:pPr>
            <w:r>
              <w:rPr>
                <w:sz w:val="18"/>
              </w:rPr>
              <w:t>5.386.674,15</w:t>
            </w:r>
          </w:p>
        </w:tc>
        <w:tc>
          <w:tcPr>
            <w:tcW w:w="700" w:type="dxa"/>
            <w:tcMar>
              <w:top w:w="0" w:type="dxa"/>
              <w:bottom w:w="0" w:type="dxa"/>
            </w:tcMar>
            <w:vAlign w:val="center"/>
          </w:tcPr>
          <w:p w14:paraId="06DFE842" w14:textId="77777777" w:rsidR="00161CC3" w:rsidRDefault="00000000">
            <w:pPr>
              <w:keepNext/>
              <w:keepLines/>
              <w:spacing w:after="0" w:line="240" w:lineRule="auto"/>
              <w:jc w:val="right"/>
            </w:pPr>
            <w:r>
              <w:rPr>
                <w:sz w:val="18"/>
              </w:rPr>
              <w:t>127,9</w:t>
            </w:r>
          </w:p>
        </w:tc>
      </w:tr>
    </w:tbl>
    <w:p w14:paraId="187EDA91" w14:textId="77777777" w:rsidR="00161CC3" w:rsidRDefault="00161CC3">
      <w:pPr>
        <w:spacing w:after="0"/>
      </w:pPr>
    </w:p>
    <w:p w14:paraId="5593A41F" w14:textId="77777777" w:rsidR="00161CC3" w:rsidRDefault="00000000">
      <w:r>
        <w:t>Povećanje se odnosi na uključivanja novog proračunskog korisnika Dom za starije osobe u Labinu u Riznicu grada, a koji je u punom obimu započeo s radom u drugoj polovici 2024. godine.</w:t>
      </w:r>
    </w:p>
    <w:p w14:paraId="1C0C22FD" w14:textId="77777777" w:rsidR="00161CC3" w:rsidRDefault="00000000">
      <w:r>
        <w:t>Također se povećanje odnosi na povećanje rashoda za zaposlene naročito kod Dječjeg vrtića, Doma za starije i Javne vatrogasne postrojbe. </w:t>
      </w:r>
    </w:p>
    <w:p w14:paraId="18A702B4" w14:textId="77777777" w:rsidR="00161CC3" w:rsidRDefault="00161CC3"/>
    <w:p w14:paraId="5A1F6F1B" w14:textId="77777777" w:rsidR="00161CC3"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21829B6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F65619"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51B727"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EC243E"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373D88"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407089"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2A0159" w14:textId="77777777" w:rsidR="00161CC3" w:rsidRDefault="00000000">
            <w:pPr>
              <w:keepNext/>
              <w:keepLines/>
              <w:spacing w:after="0" w:line="240" w:lineRule="auto"/>
              <w:jc w:val="center"/>
            </w:pPr>
            <w:r>
              <w:rPr>
                <w:b/>
                <w:sz w:val="18"/>
              </w:rPr>
              <w:t>Indeks (%)</w:t>
            </w:r>
          </w:p>
        </w:tc>
      </w:tr>
      <w:tr w:rsidR="00161CC3" w14:paraId="35ED6D8F" w14:textId="77777777">
        <w:tblPrEx>
          <w:tblCellMar>
            <w:top w:w="0" w:type="dxa"/>
            <w:bottom w:w="0" w:type="dxa"/>
          </w:tblCellMar>
        </w:tblPrEx>
        <w:trPr>
          <w:cantSplit/>
          <w:trHeight w:val="560"/>
        </w:trPr>
        <w:tc>
          <w:tcPr>
            <w:tcW w:w="700" w:type="dxa"/>
            <w:tcMar>
              <w:top w:w="0" w:type="dxa"/>
              <w:bottom w:w="0" w:type="dxa"/>
            </w:tcMar>
            <w:vAlign w:val="center"/>
          </w:tcPr>
          <w:p w14:paraId="2A90CA29" w14:textId="77777777" w:rsidR="00161CC3" w:rsidRDefault="00000000">
            <w:pPr>
              <w:keepNext/>
              <w:keepLines/>
              <w:spacing w:after="0" w:line="240" w:lineRule="auto"/>
            </w:pPr>
            <w:r>
              <w:rPr>
                <w:sz w:val="18"/>
              </w:rPr>
              <w:t>368</w:t>
            </w:r>
          </w:p>
        </w:tc>
        <w:tc>
          <w:tcPr>
            <w:tcW w:w="3180" w:type="dxa"/>
            <w:tcMar>
              <w:top w:w="0" w:type="dxa"/>
              <w:bottom w:w="0" w:type="dxa"/>
            </w:tcMar>
            <w:vAlign w:val="center"/>
          </w:tcPr>
          <w:p w14:paraId="0FA85785" w14:textId="77777777" w:rsidR="00161CC3" w:rsidRDefault="00000000">
            <w:pPr>
              <w:keepNext/>
              <w:keepLines/>
              <w:spacing w:after="0" w:line="240" w:lineRule="auto"/>
            </w:pPr>
            <w:r>
              <w:rPr>
                <w:sz w:val="18"/>
              </w:rPr>
              <w:t>Pomoći temeljem prijenosa EU sredstava (šifre 3681+3682)</w:t>
            </w:r>
          </w:p>
        </w:tc>
        <w:tc>
          <w:tcPr>
            <w:tcW w:w="700" w:type="dxa"/>
            <w:tcMar>
              <w:top w:w="0" w:type="dxa"/>
              <w:bottom w:w="0" w:type="dxa"/>
            </w:tcMar>
            <w:vAlign w:val="center"/>
          </w:tcPr>
          <w:p w14:paraId="48324DE0" w14:textId="77777777" w:rsidR="00161CC3" w:rsidRDefault="00000000">
            <w:pPr>
              <w:keepNext/>
              <w:keepLines/>
              <w:spacing w:after="0" w:line="240" w:lineRule="auto"/>
            </w:pPr>
            <w:r>
              <w:rPr>
                <w:sz w:val="18"/>
              </w:rPr>
              <w:t>368</w:t>
            </w:r>
          </w:p>
        </w:tc>
        <w:tc>
          <w:tcPr>
            <w:tcW w:w="1860" w:type="dxa"/>
            <w:tcMar>
              <w:top w:w="0" w:type="dxa"/>
              <w:bottom w:w="0" w:type="dxa"/>
            </w:tcMar>
            <w:vAlign w:val="center"/>
          </w:tcPr>
          <w:p w14:paraId="4CE26BEE" w14:textId="77777777" w:rsidR="00161CC3" w:rsidRDefault="00000000">
            <w:pPr>
              <w:keepNext/>
              <w:keepLines/>
              <w:spacing w:after="0" w:line="240" w:lineRule="auto"/>
              <w:jc w:val="right"/>
            </w:pPr>
            <w:r>
              <w:rPr>
                <w:sz w:val="18"/>
              </w:rPr>
              <w:t>101.949,82</w:t>
            </w:r>
          </w:p>
        </w:tc>
        <w:tc>
          <w:tcPr>
            <w:tcW w:w="1860" w:type="dxa"/>
            <w:tcMar>
              <w:top w:w="0" w:type="dxa"/>
              <w:bottom w:w="0" w:type="dxa"/>
            </w:tcMar>
            <w:vAlign w:val="center"/>
          </w:tcPr>
          <w:p w14:paraId="25537655" w14:textId="77777777" w:rsidR="00161CC3" w:rsidRDefault="00000000">
            <w:pPr>
              <w:keepNext/>
              <w:keepLines/>
              <w:spacing w:after="0" w:line="240" w:lineRule="auto"/>
              <w:jc w:val="right"/>
            </w:pPr>
            <w:r>
              <w:rPr>
                <w:sz w:val="18"/>
              </w:rPr>
              <w:t>142.374,33</w:t>
            </w:r>
          </w:p>
        </w:tc>
        <w:tc>
          <w:tcPr>
            <w:tcW w:w="700" w:type="dxa"/>
            <w:tcMar>
              <w:top w:w="0" w:type="dxa"/>
              <w:bottom w:w="0" w:type="dxa"/>
            </w:tcMar>
            <w:vAlign w:val="center"/>
          </w:tcPr>
          <w:p w14:paraId="0DEF71CD" w14:textId="77777777" w:rsidR="00161CC3" w:rsidRDefault="00000000">
            <w:pPr>
              <w:keepNext/>
              <w:keepLines/>
              <w:spacing w:after="0" w:line="240" w:lineRule="auto"/>
              <w:jc w:val="right"/>
            </w:pPr>
            <w:r>
              <w:rPr>
                <w:sz w:val="18"/>
              </w:rPr>
              <w:t>139,7</w:t>
            </w:r>
          </w:p>
        </w:tc>
      </w:tr>
    </w:tbl>
    <w:p w14:paraId="7090E79B" w14:textId="77777777" w:rsidR="00161CC3" w:rsidRDefault="00161CC3">
      <w:pPr>
        <w:spacing w:after="0"/>
      </w:pPr>
    </w:p>
    <w:p w14:paraId="02120B4A" w14:textId="77777777" w:rsidR="00161CC3" w:rsidRDefault="00000000">
      <w:r>
        <w:lastRenderedPageBreak/>
        <w:t>Povećanje se odnosi na financiranje pomoćnika u nastavi za djecu sa posebnim potrebama, projekt „Ravnomjerna socijalna i obrazovna inkluzija učenika s teškoćama u razvoju – RAST IV, u koordinaciji s tri škole iz Labina. </w:t>
      </w:r>
    </w:p>
    <w:p w14:paraId="0947D19B" w14:textId="77777777" w:rsidR="00161CC3" w:rsidRDefault="00000000">
      <w:r>
        <w:t> </w:t>
      </w:r>
    </w:p>
    <w:p w14:paraId="2340D1DF" w14:textId="77777777" w:rsidR="00161CC3" w:rsidRDefault="00161CC3"/>
    <w:p w14:paraId="08C02914" w14:textId="77777777" w:rsidR="00161CC3"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433D906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F49D06"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38CC95"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0D2062"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A0288B"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402747"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2F8CE9" w14:textId="77777777" w:rsidR="00161CC3" w:rsidRDefault="00000000">
            <w:pPr>
              <w:keepNext/>
              <w:keepLines/>
              <w:spacing w:after="0" w:line="240" w:lineRule="auto"/>
              <w:jc w:val="center"/>
            </w:pPr>
            <w:r>
              <w:rPr>
                <w:b/>
                <w:sz w:val="18"/>
              </w:rPr>
              <w:t>Indeks (%)</w:t>
            </w:r>
          </w:p>
        </w:tc>
      </w:tr>
      <w:tr w:rsidR="00161CC3" w14:paraId="725A611C" w14:textId="77777777">
        <w:tblPrEx>
          <w:tblCellMar>
            <w:top w:w="0" w:type="dxa"/>
            <w:bottom w:w="0" w:type="dxa"/>
          </w:tblCellMar>
        </w:tblPrEx>
        <w:trPr>
          <w:cantSplit/>
          <w:trHeight w:val="560"/>
        </w:trPr>
        <w:tc>
          <w:tcPr>
            <w:tcW w:w="700" w:type="dxa"/>
            <w:tcMar>
              <w:top w:w="0" w:type="dxa"/>
              <w:bottom w:w="0" w:type="dxa"/>
            </w:tcMar>
            <w:vAlign w:val="center"/>
          </w:tcPr>
          <w:p w14:paraId="2BD88286" w14:textId="77777777" w:rsidR="00161CC3" w:rsidRDefault="00000000">
            <w:pPr>
              <w:keepNext/>
              <w:keepLines/>
              <w:spacing w:after="0" w:line="240" w:lineRule="auto"/>
            </w:pPr>
            <w:r>
              <w:rPr>
                <w:sz w:val="18"/>
              </w:rPr>
              <w:t>369</w:t>
            </w:r>
          </w:p>
        </w:tc>
        <w:tc>
          <w:tcPr>
            <w:tcW w:w="3180" w:type="dxa"/>
            <w:tcMar>
              <w:top w:w="0" w:type="dxa"/>
              <w:bottom w:w="0" w:type="dxa"/>
            </w:tcMar>
            <w:vAlign w:val="center"/>
          </w:tcPr>
          <w:p w14:paraId="2C142BBE" w14:textId="77777777" w:rsidR="00161CC3" w:rsidRDefault="00000000">
            <w:pPr>
              <w:keepNext/>
              <w:keepLines/>
              <w:spacing w:after="0" w:line="240" w:lineRule="auto"/>
            </w:pPr>
            <w:r>
              <w:rPr>
                <w:sz w:val="18"/>
              </w:rPr>
              <w:t>Prijenosi između proračunskih korisnika istog proračuna (šifre 3691 do 3694)</w:t>
            </w:r>
          </w:p>
        </w:tc>
        <w:tc>
          <w:tcPr>
            <w:tcW w:w="700" w:type="dxa"/>
            <w:tcMar>
              <w:top w:w="0" w:type="dxa"/>
              <w:bottom w:w="0" w:type="dxa"/>
            </w:tcMar>
            <w:vAlign w:val="center"/>
          </w:tcPr>
          <w:p w14:paraId="1CDEE26E" w14:textId="77777777" w:rsidR="00161CC3" w:rsidRDefault="00000000">
            <w:pPr>
              <w:keepNext/>
              <w:keepLines/>
              <w:spacing w:after="0" w:line="240" w:lineRule="auto"/>
            </w:pPr>
            <w:r>
              <w:rPr>
                <w:sz w:val="18"/>
              </w:rPr>
              <w:t>369</w:t>
            </w:r>
          </w:p>
        </w:tc>
        <w:tc>
          <w:tcPr>
            <w:tcW w:w="1860" w:type="dxa"/>
            <w:tcMar>
              <w:top w:w="0" w:type="dxa"/>
              <w:bottom w:w="0" w:type="dxa"/>
            </w:tcMar>
            <w:vAlign w:val="center"/>
          </w:tcPr>
          <w:p w14:paraId="2DA15799" w14:textId="77777777" w:rsidR="00161CC3" w:rsidRDefault="00000000">
            <w:pPr>
              <w:keepNext/>
              <w:keepLines/>
              <w:spacing w:after="0" w:line="240" w:lineRule="auto"/>
              <w:jc w:val="right"/>
            </w:pPr>
            <w:r>
              <w:rPr>
                <w:sz w:val="18"/>
              </w:rPr>
              <w:t>4.196,34</w:t>
            </w:r>
          </w:p>
        </w:tc>
        <w:tc>
          <w:tcPr>
            <w:tcW w:w="1860" w:type="dxa"/>
            <w:tcMar>
              <w:top w:w="0" w:type="dxa"/>
              <w:bottom w:w="0" w:type="dxa"/>
            </w:tcMar>
            <w:vAlign w:val="center"/>
          </w:tcPr>
          <w:p w14:paraId="21AA66EB" w14:textId="77777777" w:rsidR="00161CC3" w:rsidRDefault="00000000">
            <w:pPr>
              <w:keepNext/>
              <w:keepLines/>
              <w:spacing w:after="0" w:line="240" w:lineRule="auto"/>
              <w:jc w:val="right"/>
            </w:pPr>
            <w:r>
              <w:rPr>
                <w:sz w:val="18"/>
              </w:rPr>
              <w:t>11.803,55</w:t>
            </w:r>
          </w:p>
        </w:tc>
        <w:tc>
          <w:tcPr>
            <w:tcW w:w="700" w:type="dxa"/>
            <w:tcMar>
              <w:top w:w="0" w:type="dxa"/>
              <w:bottom w:w="0" w:type="dxa"/>
            </w:tcMar>
            <w:vAlign w:val="center"/>
          </w:tcPr>
          <w:p w14:paraId="213B1326" w14:textId="77777777" w:rsidR="00161CC3" w:rsidRDefault="00000000">
            <w:pPr>
              <w:keepNext/>
              <w:keepLines/>
              <w:spacing w:after="0" w:line="240" w:lineRule="auto"/>
              <w:jc w:val="right"/>
            </w:pPr>
            <w:r>
              <w:rPr>
                <w:sz w:val="18"/>
              </w:rPr>
              <w:t>281,3</w:t>
            </w:r>
          </w:p>
        </w:tc>
      </w:tr>
    </w:tbl>
    <w:p w14:paraId="104C53E1" w14:textId="77777777" w:rsidR="00161CC3" w:rsidRDefault="00161CC3">
      <w:pPr>
        <w:spacing w:after="0"/>
      </w:pPr>
    </w:p>
    <w:p w14:paraId="5B3A9702" w14:textId="77777777" w:rsidR="00161CC3" w:rsidRDefault="00000000">
      <w:r>
        <w:t xml:space="preserve">Radi se o prijenosu sredstava  proračunskom korisniku Umjetničkoj školi Matko Brajša </w:t>
      </w:r>
      <w:proofErr w:type="spellStart"/>
      <w:r>
        <w:t>Rašan</w:t>
      </w:r>
      <w:proofErr w:type="spellEnd"/>
      <w:r>
        <w:t xml:space="preserve"> iz financijskog plana UO za gospodarstvo i EU projekte za provedbu aktivnosti „Mali virtuozi“ i „Baletne zvjezdice“.</w:t>
      </w:r>
    </w:p>
    <w:p w14:paraId="71C0115F" w14:textId="77777777" w:rsidR="00161CC3" w:rsidRDefault="00000000">
      <w:r>
        <w:t> </w:t>
      </w:r>
    </w:p>
    <w:p w14:paraId="70676E0F" w14:textId="77777777" w:rsidR="00161CC3" w:rsidRDefault="00161CC3"/>
    <w:p w14:paraId="4AF61BBA" w14:textId="77777777" w:rsidR="00161CC3"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151625D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928629"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31B9B2"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ADC399"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358792"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9EAE5A"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938304" w14:textId="77777777" w:rsidR="00161CC3" w:rsidRDefault="00000000">
            <w:pPr>
              <w:keepNext/>
              <w:keepLines/>
              <w:spacing w:after="0" w:line="240" w:lineRule="auto"/>
              <w:jc w:val="center"/>
            </w:pPr>
            <w:r>
              <w:rPr>
                <w:b/>
                <w:sz w:val="18"/>
              </w:rPr>
              <w:t>Indeks (%)</w:t>
            </w:r>
          </w:p>
        </w:tc>
      </w:tr>
      <w:tr w:rsidR="00161CC3" w14:paraId="6C097E6A" w14:textId="77777777">
        <w:tblPrEx>
          <w:tblCellMar>
            <w:top w:w="0" w:type="dxa"/>
            <w:bottom w:w="0" w:type="dxa"/>
          </w:tblCellMar>
        </w:tblPrEx>
        <w:trPr>
          <w:cantSplit/>
          <w:trHeight w:val="560"/>
        </w:trPr>
        <w:tc>
          <w:tcPr>
            <w:tcW w:w="700" w:type="dxa"/>
            <w:tcMar>
              <w:top w:w="0" w:type="dxa"/>
              <w:bottom w:w="0" w:type="dxa"/>
            </w:tcMar>
            <w:vAlign w:val="center"/>
          </w:tcPr>
          <w:p w14:paraId="0DB78168" w14:textId="77777777" w:rsidR="00161CC3" w:rsidRDefault="00000000">
            <w:pPr>
              <w:keepNext/>
              <w:keepLines/>
              <w:spacing w:after="0" w:line="240" w:lineRule="auto"/>
            </w:pPr>
            <w:r>
              <w:rPr>
                <w:sz w:val="18"/>
              </w:rPr>
              <w:t>37</w:t>
            </w:r>
          </w:p>
        </w:tc>
        <w:tc>
          <w:tcPr>
            <w:tcW w:w="3180" w:type="dxa"/>
            <w:tcMar>
              <w:top w:w="0" w:type="dxa"/>
              <w:bottom w:w="0" w:type="dxa"/>
            </w:tcMar>
            <w:vAlign w:val="center"/>
          </w:tcPr>
          <w:p w14:paraId="53EC1865" w14:textId="77777777" w:rsidR="00161CC3" w:rsidRDefault="00000000">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14:paraId="2370BB93" w14:textId="77777777" w:rsidR="00161CC3" w:rsidRDefault="00000000">
            <w:pPr>
              <w:keepNext/>
              <w:keepLines/>
              <w:spacing w:after="0" w:line="240" w:lineRule="auto"/>
            </w:pPr>
            <w:r>
              <w:rPr>
                <w:sz w:val="18"/>
              </w:rPr>
              <w:t>37</w:t>
            </w:r>
          </w:p>
        </w:tc>
        <w:tc>
          <w:tcPr>
            <w:tcW w:w="1860" w:type="dxa"/>
            <w:tcMar>
              <w:top w:w="0" w:type="dxa"/>
              <w:bottom w:w="0" w:type="dxa"/>
            </w:tcMar>
            <w:vAlign w:val="center"/>
          </w:tcPr>
          <w:p w14:paraId="36D8CAEC" w14:textId="77777777" w:rsidR="00161CC3" w:rsidRDefault="00000000">
            <w:pPr>
              <w:keepNext/>
              <w:keepLines/>
              <w:spacing w:after="0" w:line="240" w:lineRule="auto"/>
              <w:jc w:val="right"/>
            </w:pPr>
            <w:r>
              <w:rPr>
                <w:sz w:val="18"/>
              </w:rPr>
              <w:t>515.427,06</w:t>
            </w:r>
          </w:p>
        </w:tc>
        <w:tc>
          <w:tcPr>
            <w:tcW w:w="1860" w:type="dxa"/>
            <w:tcMar>
              <w:top w:w="0" w:type="dxa"/>
              <w:bottom w:w="0" w:type="dxa"/>
            </w:tcMar>
            <w:vAlign w:val="center"/>
          </w:tcPr>
          <w:p w14:paraId="35ED9561" w14:textId="77777777" w:rsidR="00161CC3" w:rsidRDefault="00000000">
            <w:pPr>
              <w:keepNext/>
              <w:keepLines/>
              <w:spacing w:after="0" w:line="240" w:lineRule="auto"/>
              <w:jc w:val="right"/>
            </w:pPr>
            <w:r>
              <w:rPr>
                <w:sz w:val="18"/>
              </w:rPr>
              <w:t>679.268,30</w:t>
            </w:r>
          </w:p>
        </w:tc>
        <w:tc>
          <w:tcPr>
            <w:tcW w:w="700" w:type="dxa"/>
            <w:tcMar>
              <w:top w:w="0" w:type="dxa"/>
              <w:bottom w:w="0" w:type="dxa"/>
            </w:tcMar>
            <w:vAlign w:val="center"/>
          </w:tcPr>
          <w:p w14:paraId="76887550" w14:textId="77777777" w:rsidR="00161CC3" w:rsidRDefault="00000000">
            <w:pPr>
              <w:keepNext/>
              <w:keepLines/>
              <w:spacing w:after="0" w:line="240" w:lineRule="auto"/>
              <w:jc w:val="right"/>
            </w:pPr>
            <w:r>
              <w:rPr>
                <w:sz w:val="18"/>
              </w:rPr>
              <w:t>131,8</w:t>
            </w:r>
          </w:p>
        </w:tc>
      </w:tr>
    </w:tbl>
    <w:p w14:paraId="43438831" w14:textId="77777777" w:rsidR="00161CC3" w:rsidRDefault="00161CC3">
      <w:pPr>
        <w:spacing w:after="0"/>
      </w:pPr>
    </w:p>
    <w:p w14:paraId="10CC97FF" w14:textId="77777777" w:rsidR="00161CC3" w:rsidRDefault="00000000">
      <w:r>
        <w:t>Realizirane su u iznosu od 679.268,30 EUR i povećane su za 31,8% u odnosu na prethodnu godinu.</w:t>
      </w:r>
    </w:p>
    <w:p w14:paraId="13EFBD19" w14:textId="77777777" w:rsidR="00161CC3" w:rsidRDefault="00000000">
      <w:r>
        <w:t>Najveće povećanje odnosi se na povećanje rashoda za stipendije učenicima i studentima te povećanje naknada građanima povodom uskršnjih i božićnih blagdana.          </w:t>
      </w:r>
    </w:p>
    <w:p w14:paraId="6F36290B" w14:textId="77777777" w:rsidR="00161CC3" w:rsidRDefault="00000000">
      <w:r>
        <w:t> </w:t>
      </w:r>
    </w:p>
    <w:p w14:paraId="0BD17759" w14:textId="77777777" w:rsidR="00161CC3" w:rsidRDefault="00161CC3"/>
    <w:p w14:paraId="7DDC379E" w14:textId="77777777" w:rsidR="00161CC3"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2AC356B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4EA1A3"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79B99CB"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67E7B4"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308788"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CC4D84"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0C68404" w14:textId="77777777" w:rsidR="00161CC3" w:rsidRDefault="00000000">
            <w:pPr>
              <w:keepNext/>
              <w:keepLines/>
              <w:spacing w:after="0" w:line="240" w:lineRule="auto"/>
              <w:jc w:val="center"/>
            </w:pPr>
            <w:r>
              <w:rPr>
                <w:b/>
                <w:sz w:val="18"/>
              </w:rPr>
              <w:t>Indeks (%)</w:t>
            </w:r>
          </w:p>
        </w:tc>
      </w:tr>
      <w:tr w:rsidR="00161CC3" w14:paraId="43407FFC" w14:textId="77777777">
        <w:tblPrEx>
          <w:tblCellMar>
            <w:top w:w="0" w:type="dxa"/>
            <w:bottom w:w="0" w:type="dxa"/>
          </w:tblCellMar>
        </w:tblPrEx>
        <w:trPr>
          <w:cantSplit/>
          <w:trHeight w:val="560"/>
        </w:trPr>
        <w:tc>
          <w:tcPr>
            <w:tcW w:w="700" w:type="dxa"/>
            <w:tcMar>
              <w:top w:w="0" w:type="dxa"/>
              <w:bottom w:w="0" w:type="dxa"/>
            </w:tcMar>
            <w:vAlign w:val="center"/>
          </w:tcPr>
          <w:p w14:paraId="22E33680" w14:textId="77777777" w:rsidR="00161CC3" w:rsidRDefault="00000000">
            <w:pPr>
              <w:keepNext/>
              <w:keepLines/>
              <w:spacing w:after="0" w:line="240" w:lineRule="auto"/>
            </w:pPr>
            <w:r>
              <w:rPr>
                <w:sz w:val="18"/>
              </w:rPr>
              <w:t>38</w:t>
            </w:r>
          </w:p>
        </w:tc>
        <w:tc>
          <w:tcPr>
            <w:tcW w:w="3180" w:type="dxa"/>
            <w:tcMar>
              <w:top w:w="0" w:type="dxa"/>
              <w:bottom w:w="0" w:type="dxa"/>
            </w:tcMar>
            <w:vAlign w:val="center"/>
          </w:tcPr>
          <w:p w14:paraId="01AE9BEE" w14:textId="77777777" w:rsidR="00161CC3" w:rsidRDefault="00000000">
            <w:pPr>
              <w:keepNext/>
              <w:keepLines/>
              <w:spacing w:after="0" w:line="240" w:lineRule="auto"/>
            </w:pPr>
            <w:r>
              <w:rPr>
                <w:sz w:val="18"/>
              </w:rPr>
              <w:t>Rashodi za donacije, kazne, naknade šteta i kapitalne pomoći (šifre 381+382+383+386)</w:t>
            </w:r>
          </w:p>
        </w:tc>
        <w:tc>
          <w:tcPr>
            <w:tcW w:w="700" w:type="dxa"/>
            <w:tcMar>
              <w:top w:w="0" w:type="dxa"/>
              <w:bottom w:w="0" w:type="dxa"/>
            </w:tcMar>
            <w:vAlign w:val="center"/>
          </w:tcPr>
          <w:p w14:paraId="22A09B41" w14:textId="77777777" w:rsidR="00161CC3" w:rsidRDefault="00000000">
            <w:pPr>
              <w:keepNext/>
              <w:keepLines/>
              <w:spacing w:after="0" w:line="240" w:lineRule="auto"/>
            </w:pPr>
            <w:r>
              <w:rPr>
                <w:sz w:val="18"/>
              </w:rPr>
              <w:t>38</w:t>
            </w:r>
          </w:p>
        </w:tc>
        <w:tc>
          <w:tcPr>
            <w:tcW w:w="1860" w:type="dxa"/>
            <w:tcMar>
              <w:top w:w="0" w:type="dxa"/>
              <w:bottom w:w="0" w:type="dxa"/>
            </w:tcMar>
            <w:vAlign w:val="center"/>
          </w:tcPr>
          <w:p w14:paraId="0670E363" w14:textId="77777777" w:rsidR="00161CC3" w:rsidRDefault="00000000">
            <w:pPr>
              <w:keepNext/>
              <w:keepLines/>
              <w:spacing w:after="0" w:line="240" w:lineRule="auto"/>
              <w:jc w:val="right"/>
            </w:pPr>
            <w:r>
              <w:rPr>
                <w:sz w:val="18"/>
              </w:rPr>
              <w:t>707.258,76</w:t>
            </w:r>
          </w:p>
        </w:tc>
        <w:tc>
          <w:tcPr>
            <w:tcW w:w="1860" w:type="dxa"/>
            <w:tcMar>
              <w:top w:w="0" w:type="dxa"/>
              <w:bottom w:w="0" w:type="dxa"/>
            </w:tcMar>
            <w:vAlign w:val="center"/>
          </w:tcPr>
          <w:p w14:paraId="33CFFE1E" w14:textId="77777777" w:rsidR="00161CC3" w:rsidRDefault="00000000">
            <w:pPr>
              <w:keepNext/>
              <w:keepLines/>
              <w:spacing w:after="0" w:line="240" w:lineRule="auto"/>
              <w:jc w:val="right"/>
            </w:pPr>
            <w:r>
              <w:rPr>
                <w:sz w:val="18"/>
              </w:rPr>
              <w:t>750.875,52</w:t>
            </w:r>
          </w:p>
        </w:tc>
        <w:tc>
          <w:tcPr>
            <w:tcW w:w="700" w:type="dxa"/>
            <w:tcMar>
              <w:top w:w="0" w:type="dxa"/>
              <w:bottom w:w="0" w:type="dxa"/>
            </w:tcMar>
            <w:vAlign w:val="center"/>
          </w:tcPr>
          <w:p w14:paraId="4D54A4BB" w14:textId="77777777" w:rsidR="00161CC3" w:rsidRDefault="00000000">
            <w:pPr>
              <w:keepNext/>
              <w:keepLines/>
              <w:spacing w:after="0" w:line="240" w:lineRule="auto"/>
              <w:jc w:val="right"/>
            </w:pPr>
            <w:r>
              <w:rPr>
                <w:sz w:val="18"/>
              </w:rPr>
              <w:t>106,2</w:t>
            </w:r>
          </w:p>
        </w:tc>
      </w:tr>
    </w:tbl>
    <w:p w14:paraId="1C7ACF86" w14:textId="77777777" w:rsidR="00161CC3" w:rsidRDefault="00161CC3">
      <w:pPr>
        <w:spacing w:after="0"/>
      </w:pPr>
    </w:p>
    <w:p w14:paraId="2E780D84" w14:textId="77777777" w:rsidR="00161CC3" w:rsidRDefault="00000000">
      <w:r>
        <w:t>Realizirane su u iznosu od 750.875,52 EUR i povećane su za 6,2% u odnosu na prethodnu godinu.</w:t>
      </w:r>
    </w:p>
    <w:p w14:paraId="4EAB3F85" w14:textId="77777777" w:rsidR="00161CC3" w:rsidRDefault="00000000">
      <w:r>
        <w:lastRenderedPageBreak/>
        <w:t>Povećanje odnosi se u najvećoj mjeri na povećanje cijene prijevoza sportaša na natjecanja, na povećanje donacija Hrvatskom crvenom križu-GD Labin i Područnoj vatrogasnoj zajednici Labin. </w:t>
      </w:r>
    </w:p>
    <w:p w14:paraId="1AB09E7F" w14:textId="77777777" w:rsidR="00161CC3" w:rsidRDefault="00000000">
      <w:r>
        <w:t> </w:t>
      </w:r>
    </w:p>
    <w:p w14:paraId="04BD2510" w14:textId="77777777" w:rsidR="00161CC3" w:rsidRDefault="00161CC3"/>
    <w:p w14:paraId="67438FC2" w14:textId="77777777" w:rsidR="00161CC3"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1412233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EEE11E"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3EF4FE"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499DDA"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39650C"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E667AE"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248BC1" w14:textId="77777777" w:rsidR="00161CC3" w:rsidRDefault="00000000">
            <w:pPr>
              <w:keepNext/>
              <w:keepLines/>
              <w:spacing w:after="0" w:line="240" w:lineRule="auto"/>
              <w:jc w:val="center"/>
            </w:pPr>
            <w:r>
              <w:rPr>
                <w:b/>
                <w:sz w:val="18"/>
              </w:rPr>
              <w:t>Indeks (%)</w:t>
            </w:r>
          </w:p>
        </w:tc>
      </w:tr>
      <w:tr w:rsidR="00161CC3" w14:paraId="34083479" w14:textId="77777777">
        <w:tblPrEx>
          <w:tblCellMar>
            <w:top w:w="0" w:type="dxa"/>
            <w:bottom w:w="0" w:type="dxa"/>
          </w:tblCellMar>
        </w:tblPrEx>
        <w:trPr>
          <w:cantSplit/>
          <w:trHeight w:val="560"/>
        </w:trPr>
        <w:tc>
          <w:tcPr>
            <w:tcW w:w="700" w:type="dxa"/>
            <w:tcMar>
              <w:top w:w="0" w:type="dxa"/>
              <w:bottom w:w="0" w:type="dxa"/>
            </w:tcMar>
            <w:vAlign w:val="center"/>
          </w:tcPr>
          <w:p w14:paraId="16DE9083" w14:textId="77777777" w:rsidR="00161CC3" w:rsidRDefault="00000000">
            <w:pPr>
              <w:keepNext/>
              <w:keepLines/>
              <w:spacing w:after="0" w:line="240" w:lineRule="auto"/>
            </w:pPr>
            <w:r>
              <w:rPr>
                <w:sz w:val="18"/>
              </w:rPr>
              <w:t>7</w:t>
            </w:r>
          </w:p>
        </w:tc>
        <w:tc>
          <w:tcPr>
            <w:tcW w:w="3180" w:type="dxa"/>
            <w:tcMar>
              <w:top w:w="0" w:type="dxa"/>
              <w:bottom w:w="0" w:type="dxa"/>
            </w:tcMar>
            <w:vAlign w:val="center"/>
          </w:tcPr>
          <w:p w14:paraId="735AB1A7" w14:textId="77777777" w:rsidR="00161CC3"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795E391E" w14:textId="77777777" w:rsidR="00161CC3" w:rsidRDefault="00000000">
            <w:pPr>
              <w:keepNext/>
              <w:keepLines/>
              <w:spacing w:after="0" w:line="240" w:lineRule="auto"/>
            </w:pPr>
            <w:r>
              <w:rPr>
                <w:sz w:val="18"/>
              </w:rPr>
              <w:t>7</w:t>
            </w:r>
          </w:p>
        </w:tc>
        <w:tc>
          <w:tcPr>
            <w:tcW w:w="1860" w:type="dxa"/>
            <w:tcMar>
              <w:top w:w="0" w:type="dxa"/>
              <w:bottom w:w="0" w:type="dxa"/>
            </w:tcMar>
            <w:vAlign w:val="center"/>
          </w:tcPr>
          <w:p w14:paraId="2EC23201" w14:textId="77777777" w:rsidR="00161CC3" w:rsidRDefault="00000000">
            <w:pPr>
              <w:keepNext/>
              <w:keepLines/>
              <w:spacing w:after="0" w:line="240" w:lineRule="auto"/>
              <w:jc w:val="right"/>
            </w:pPr>
            <w:r>
              <w:rPr>
                <w:sz w:val="18"/>
              </w:rPr>
              <w:t>82.575,29</w:t>
            </w:r>
          </w:p>
        </w:tc>
        <w:tc>
          <w:tcPr>
            <w:tcW w:w="1860" w:type="dxa"/>
            <w:tcMar>
              <w:top w:w="0" w:type="dxa"/>
              <w:bottom w:w="0" w:type="dxa"/>
            </w:tcMar>
            <w:vAlign w:val="center"/>
          </w:tcPr>
          <w:p w14:paraId="6B051ED0" w14:textId="77777777" w:rsidR="00161CC3" w:rsidRDefault="00000000">
            <w:pPr>
              <w:keepNext/>
              <w:keepLines/>
              <w:spacing w:after="0" w:line="240" w:lineRule="auto"/>
              <w:jc w:val="right"/>
            </w:pPr>
            <w:r>
              <w:rPr>
                <w:sz w:val="18"/>
              </w:rPr>
              <w:t>28.084,88</w:t>
            </w:r>
          </w:p>
        </w:tc>
        <w:tc>
          <w:tcPr>
            <w:tcW w:w="700" w:type="dxa"/>
            <w:tcMar>
              <w:top w:w="0" w:type="dxa"/>
              <w:bottom w:w="0" w:type="dxa"/>
            </w:tcMar>
            <w:vAlign w:val="center"/>
          </w:tcPr>
          <w:p w14:paraId="3E7BF238" w14:textId="77777777" w:rsidR="00161CC3" w:rsidRDefault="00000000">
            <w:pPr>
              <w:keepNext/>
              <w:keepLines/>
              <w:spacing w:after="0" w:line="240" w:lineRule="auto"/>
              <w:jc w:val="right"/>
            </w:pPr>
            <w:r>
              <w:rPr>
                <w:sz w:val="18"/>
              </w:rPr>
              <w:t>34,0</w:t>
            </w:r>
          </w:p>
        </w:tc>
      </w:tr>
    </w:tbl>
    <w:p w14:paraId="39D1CF8A" w14:textId="77777777" w:rsidR="00161CC3" w:rsidRDefault="00161CC3">
      <w:pPr>
        <w:spacing w:after="0"/>
      </w:pPr>
    </w:p>
    <w:p w14:paraId="4113A2D8" w14:textId="77777777" w:rsidR="00161CC3" w:rsidRDefault="00000000">
      <w:r>
        <w:t>U izvještajnom razdoblju realizirana prodaja zemljišta u iznosu od 19.620,00 EUR, dok je u istom razdoblju prethodne godine realizirana jedna prodaja zemljišta u iznosu od 38.100,00 EUR. Preostali iznos od 8.464,88 EUR odnosi se na naplatu prihoda za stanove na kojima postoji stanarsko pravo, a koji prihodi se postepeno smanjuju budući da otplate po ugovorima o prodaji stanova dospijevaju u cijelosti u naredne dvije godine. </w:t>
      </w:r>
    </w:p>
    <w:p w14:paraId="295B1DC6" w14:textId="77777777" w:rsidR="00161CC3" w:rsidRDefault="00000000">
      <w:r>
        <w:t> </w:t>
      </w:r>
    </w:p>
    <w:p w14:paraId="2791FE96" w14:textId="77777777" w:rsidR="00161CC3" w:rsidRDefault="00161CC3"/>
    <w:p w14:paraId="26E0892D" w14:textId="77777777" w:rsidR="00161CC3"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7C7761F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FB3E2B"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78CC1A6"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EDE8D4"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09D998"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ED6820"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C0472D" w14:textId="77777777" w:rsidR="00161CC3" w:rsidRDefault="00000000">
            <w:pPr>
              <w:keepNext/>
              <w:keepLines/>
              <w:spacing w:after="0" w:line="240" w:lineRule="auto"/>
              <w:jc w:val="center"/>
            </w:pPr>
            <w:r>
              <w:rPr>
                <w:b/>
                <w:sz w:val="18"/>
              </w:rPr>
              <w:t>Indeks (%)</w:t>
            </w:r>
          </w:p>
        </w:tc>
      </w:tr>
      <w:tr w:rsidR="00161CC3" w14:paraId="0F28D764" w14:textId="77777777">
        <w:tblPrEx>
          <w:tblCellMar>
            <w:top w:w="0" w:type="dxa"/>
            <w:bottom w:w="0" w:type="dxa"/>
          </w:tblCellMar>
        </w:tblPrEx>
        <w:trPr>
          <w:cantSplit/>
          <w:trHeight w:val="560"/>
        </w:trPr>
        <w:tc>
          <w:tcPr>
            <w:tcW w:w="700" w:type="dxa"/>
            <w:tcMar>
              <w:top w:w="0" w:type="dxa"/>
              <w:bottom w:w="0" w:type="dxa"/>
            </w:tcMar>
            <w:vAlign w:val="center"/>
          </w:tcPr>
          <w:p w14:paraId="0AF6FC2F" w14:textId="77777777" w:rsidR="00161CC3" w:rsidRDefault="00000000">
            <w:pPr>
              <w:keepNext/>
              <w:keepLines/>
              <w:spacing w:after="0" w:line="240" w:lineRule="auto"/>
            </w:pPr>
            <w:r>
              <w:rPr>
                <w:sz w:val="18"/>
              </w:rPr>
              <w:t>41</w:t>
            </w:r>
          </w:p>
        </w:tc>
        <w:tc>
          <w:tcPr>
            <w:tcW w:w="3180" w:type="dxa"/>
            <w:tcMar>
              <w:top w:w="0" w:type="dxa"/>
              <w:bottom w:w="0" w:type="dxa"/>
            </w:tcMar>
            <w:vAlign w:val="center"/>
          </w:tcPr>
          <w:p w14:paraId="40353F76" w14:textId="77777777" w:rsidR="00161CC3" w:rsidRDefault="00000000">
            <w:pPr>
              <w:keepNext/>
              <w:keepLines/>
              <w:spacing w:after="0" w:line="240" w:lineRule="auto"/>
            </w:pPr>
            <w:r>
              <w:rPr>
                <w:sz w:val="18"/>
              </w:rPr>
              <w:t xml:space="preserve">Rashodi za nabavu </w:t>
            </w:r>
            <w:proofErr w:type="spellStart"/>
            <w:r>
              <w:rPr>
                <w:sz w:val="18"/>
              </w:rPr>
              <w:t>neproizvedene</w:t>
            </w:r>
            <w:proofErr w:type="spellEnd"/>
            <w:r>
              <w:rPr>
                <w:sz w:val="18"/>
              </w:rPr>
              <w:t xml:space="preserve"> dugotrajne imovine (šifre 411+412)</w:t>
            </w:r>
          </w:p>
        </w:tc>
        <w:tc>
          <w:tcPr>
            <w:tcW w:w="700" w:type="dxa"/>
            <w:tcMar>
              <w:top w:w="0" w:type="dxa"/>
              <w:bottom w:w="0" w:type="dxa"/>
            </w:tcMar>
            <w:vAlign w:val="center"/>
          </w:tcPr>
          <w:p w14:paraId="55D06809" w14:textId="77777777" w:rsidR="00161CC3" w:rsidRDefault="00000000">
            <w:pPr>
              <w:keepNext/>
              <w:keepLines/>
              <w:spacing w:after="0" w:line="240" w:lineRule="auto"/>
            </w:pPr>
            <w:r>
              <w:rPr>
                <w:sz w:val="18"/>
              </w:rPr>
              <w:t>41</w:t>
            </w:r>
          </w:p>
        </w:tc>
        <w:tc>
          <w:tcPr>
            <w:tcW w:w="1860" w:type="dxa"/>
            <w:tcMar>
              <w:top w:w="0" w:type="dxa"/>
              <w:bottom w:w="0" w:type="dxa"/>
            </w:tcMar>
            <w:vAlign w:val="center"/>
          </w:tcPr>
          <w:p w14:paraId="3733F6C3" w14:textId="77777777" w:rsidR="00161CC3" w:rsidRDefault="00000000">
            <w:pPr>
              <w:keepNext/>
              <w:keepLines/>
              <w:spacing w:after="0" w:line="240" w:lineRule="auto"/>
              <w:jc w:val="right"/>
            </w:pPr>
            <w:r>
              <w:rPr>
                <w:sz w:val="18"/>
              </w:rPr>
              <w:t>3.375,00</w:t>
            </w:r>
          </w:p>
        </w:tc>
        <w:tc>
          <w:tcPr>
            <w:tcW w:w="1860" w:type="dxa"/>
            <w:tcMar>
              <w:top w:w="0" w:type="dxa"/>
              <w:bottom w:w="0" w:type="dxa"/>
            </w:tcMar>
            <w:vAlign w:val="center"/>
          </w:tcPr>
          <w:p w14:paraId="5F8E7A58" w14:textId="77777777" w:rsidR="00161CC3" w:rsidRDefault="00000000">
            <w:pPr>
              <w:keepNext/>
              <w:keepLines/>
              <w:spacing w:after="0" w:line="240" w:lineRule="auto"/>
              <w:jc w:val="right"/>
            </w:pPr>
            <w:r>
              <w:rPr>
                <w:sz w:val="18"/>
              </w:rPr>
              <w:t>39.101,69</w:t>
            </w:r>
          </w:p>
        </w:tc>
        <w:tc>
          <w:tcPr>
            <w:tcW w:w="700" w:type="dxa"/>
            <w:tcMar>
              <w:top w:w="0" w:type="dxa"/>
              <w:bottom w:w="0" w:type="dxa"/>
            </w:tcMar>
            <w:vAlign w:val="center"/>
          </w:tcPr>
          <w:p w14:paraId="77F86432" w14:textId="77777777" w:rsidR="00161CC3" w:rsidRDefault="00000000">
            <w:pPr>
              <w:keepNext/>
              <w:keepLines/>
              <w:spacing w:after="0" w:line="240" w:lineRule="auto"/>
              <w:jc w:val="right"/>
            </w:pPr>
            <w:r>
              <w:rPr>
                <w:sz w:val="18"/>
              </w:rPr>
              <w:t>1158,6</w:t>
            </w:r>
          </w:p>
        </w:tc>
      </w:tr>
    </w:tbl>
    <w:p w14:paraId="2CDBC94F" w14:textId="77777777" w:rsidR="00161CC3" w:rsidRDefault="00161CC3">
      <w:pPr>
        <w:spacing w:after="0"/>
      </w:pPr>
    </w:p>
    <w:p w14:paraId="06C69519" w14:textId="77777777" w:rsidR="00161CC3" w:rsidRDefault="00000000">
      <w:r>
        <w:t>Ostvareni su rashodi u iznosu od 39.101,69 EUR i u odnosu na prethodnu godinu povećani su za 35.726,69 EUR ili 1.058%, a povećanje se odnosi na nabavku licenci tijekom 2025. godine, a kojih rashoda u 2024. godini nije bilo.</w:t>
      </w:r>
    </w:p>
    <w:p w14:paraId="0B5298CE" w14:textId="77777777" w:rsidR="00161CC3" w:rsidRDefault="00000000">
      <w:r>
        <w:t> </w:t>
      </w:r>
    </w:p>
    <w:p w14:paraId="7ABCDD91" w14:textId="77777777" w:rsidR="00161CC3" w:rsidRDefault="00161CC3"/>
    <w:p w14:paraId="3A8CEF80" w14:textId="77777777" w:rsidR="00161CC3"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5FA0F31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CCC3A9"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97B1326"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9A49BB"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0B7C3A"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A9891E"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FE521D" w14:textId="77777777" w:rsidR="00161CC3" w:rsidRDefault="00000000">
            <w:pPr>
              <w:keepNext/>
              <w:keepLines/>
              <w:spacing w:after="0" w:line="240" w:lineRule="auto"/>
              <w:jc w:val="center"/>
            </w:pPr>
            <w:r>
              <w:rPr>
                <w:b/>
                <w:sz w:val="18"/>
              </w:rPr>
              <w:t>Indeks (%)</w:t>
            </w:r>
          </w:p>
        </w:tc>
      </w:tr>
      <w:tr w:rsidR="00161CC3" w14:paraId="14747EA3" w14:textId="77777777">
        <w:tblPrEx>
          <w:tblCellMar>
            <w:top w:w="0" w:type="dxa"/>
            <w:bottom w:w="0" w:type="dxa"/>
          </w:tblCellMar>
        </w:tblPrEx>
        <w:trPr>
          <w:cantSplit/>
          <w:trHeight w:val="560"/>
        </w:trPr>
        <w:tc>
          <w:tcPr>
            <w:tcW w:w="700" w:type="dxa"/>
            <w:tcMar>
              <w:top w:w="0" w:type="dxa"/>
              <w:bottom w:w="0" w:type="dxa"/>
            </w:tcMar>
            <w:vAlign w:val="center"/>
          </w:tcPr>
          <w:p w14:paraId="3C9A5095" w14:textId="77777777" w:rsidR="00161CC3" w:rsidRDefault="00000000">
            <w:pPr>
              <w:keepNext/>
              <w:keepLines/>
              <w:spacing w:after="0" w:line="240" w:lineRule="auto"/>
            </w:pPr>
            <w:r>
              <w:rPr>
                <w:sz w:val="18"/>
              </w:rPr>
              <w:t>42</w:t>
            </w:r>
          </w:p>
        </w:tc>
        <w:tc>
          <w:tcPr>
            <w:tcW w:w="3180" w:type="dxa"/>
            <w:tcMar>
              <w:top w:w="0" w:type="dxa"/>
              <w:bottom w:w="0" w:type="dxa"/>
            </w:tcMar>
            <w:vAlign w:val="center"/>
          </w:tcPr>
          <w:p w14:paraId="071249CF" w14:textId="77777777" w:rsidR="00161CC3" w:rsidRDefault="00000000">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14:paraId="63A65055" w14:textId="77777777" w:rsidR="00161CC3" w:rsidRDefault="00000000">
            <w:pPr>
              <w:keepNext/>
              <w:keepLines/>
              <w:spacing w:after="0" w:line="240" w:lineRule="auto"/>
            </w:pPr>
            <w:r>
              <w:rPr>
                <w:sz w:val="18"/>
              </w:rPr>
              <w:t>42</w:t>
            </w:r>
          </w:p>
        </w:tc>
        <w:tc>
          <w:tcPr>
            <w:tcW w:w="1860" w:type="dxa"/>
            <w:tcMar>
              <w:top w:w="0" w:type="dxa"/>
              <w:bottom w:w="0" w:type="dxa"/>
            </w:tcMar>
            <w:vAlign w:val="center"/>
          </w:tcPr>
          <w:p w14:paraId="7E64A750" w14:textId="77777777" w:rsidR="00161CC3" w:rsidRDefault="00000000">
            <w:pPr>
              <w:keepNext/>
              <w:keepLines/>
              <w:spacing w:after="0" w:line="240" w:lineRule="auto"/>
              <w:jc w:val="right"/>
            </w:pPr>
            <w:r>
              <w:rPr>
                <w:sz w:val="18"/>
              </w:rPr>
              <w:t>2.283.918,96</w:t>
            </w:r>
          </w:p>
        </w:tc>
        <w:tc>
          <w:tcPr>
            <w:tcW w:w="1860" w:type="dxa"/>
            <w:tcMar>
              <w:top w:w="0" w:type="dxa"/>
              <w:bottom w:w="0" w:type="dxa"/>
            </w:tcMar>
            <w:vAlign w:val="center"/>
          </w:tcPr>
          <w:p w14:paraId="7673B17A" w14:textId="77777777" w:rsidR="00161CC3" w:rsidRDefault="00000000">
            <w:pPr>
              <w:keepNext/>
              <w:keepLines/>
              <w:spacing w:after="0" w:line="240" w:lineRule="auto"/>
              <w:jc w:val="right"/>
            </w:pPr>
            <w:r>
              <w:rPr>
                <w:sz w:val="18"/>
              </w:rPr>
              <w:t>2.765.033,71</w:t>
            </w:r>
          </w:p>
        </w:tc>
        <w:tc>
          <w:tcPr>
            <w:tcW w:w="700" w:type="dxa"/>
            <w:tcMar>
              <w:top w:w="0" w:type="dxa"/>
              <w:bottom w:w="0" w:type="dxa"/>
            </w:tcMar>
            <w:vAlign w:val="center"/>
          </w:tcPr>
          <w:p w14:paraId="4F6C9A9E" w14:textId="77777777" w:rsidR="00161CC3" w:rsidRDefault="00000000">
            <w:pPr>
              <w:keepNext/>
              <w:keepLines/>
              <w:spacing w:after="0" w:line="240" w:lineRule="auto"/>
              <w:jc w:val="right"/>
            </w:pPr>
            <w:r>
              <w:rPr>
                <w:sz w:val="18"/>
              </w:rPr>
              <w:t>121,1</w:t>
            </w:r>
          </w:p>
        </w:tc>
      </w:tr>
    </w:tbl>
    <w:p w14:paraId="542AE185" w14:textId="77777777" w:rsidR="00161CC3" w:rsidRDefault="00161CC3">
      <w:pPr>
        <w:spacing w:after="0"/>
      </w:pPr>
    </w:p>
    <w:p w14:paraId="0C1A8EE6" w14:textId="77777777" w:rsidR="00161CC3" w:rsidRDefault="00000000">
      <w:r>
        <w:lastRenderedPageBreak/>
        <w:t xml:space="preserve">Iznose 2.765.033,71 EUR i u odnosu na prethodnu godinu povećani su za 21,1% i to prvenstveno zbog gradnje nove zgrade dječjeg vrtića u mjestu Vinež, koja je investicija započela u 2024. godini, ali je najveći iznos rashoda </w:t>
      </w:r>
      <w:proofErr w:type="spellStart"/>
      <w:r>
        <w:t>izrealiziran</w:t>
      </w:r>
      <w:proofErr w:type="spellEnd"/>
      <w:r>
        <w:t xml:space="preserve"> u 2025. godini.</w:t>
      </w:r>
    </w:p>
    <w:p w14:paraId="71E8D063" w14:textId="77777777" w:rsidR="00161CC3" w:rsidRDefault="00000000">
      <w:r>
        <w:t> </w:t>
      </w:r>
    </w:p>
    <w:p w14:paraId="0B8F6712" w14:textId="77777777" w:rsidR="00161CC3" w:rsidRDefault="00161CC3"/>
    <w:p w14:paraId="1771CFD2" w14:textId="77777777" w:rsidR="00161CC3"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491229D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3E5A33"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716FEC3"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386D6E"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CB1910"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8D3748"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8E8F0A" w14:textId="77777777" w:rsidR="00161CC3" w:rsidRDefault="00000000">
            <w:pPr>
              <w:keepNext/>
              <w:keepLines/>
              <w:spacing w:after="0" w:line="240" w:lineRule="auto"/>
              <w:jc w:val="center"/>
            </w:pPr>
            <w:r>
              <w:rPr>
                <w:b/>
                <w:sz w:val="18"/>
              </w:rPr>
              <w:t>Indeks (%)</w:t>
            </w:r>
          </w:p>
        </w:tc>
      </w:tr>
      <w:tr w:rsidR="00161CC3" w14:paraId="253FB7EF" w14:textId="77777777">
        <w:tblPrEx>
          <w:tblCellMar>
            <w:top w:w="0" w:type="dxa"/>
            <w:bottom w:w="0" w:type="dxa"/>
          </w:tblCellMar>
        </w:tblPrEx>
        <w:trPr>
          <w:cantSplit/>
          <w:trHeight w:val="560"/>
        </w:trPr>
        <w:tc>
          <w:tcPr>
            <w:tcW w:w="700" w:type="dxa"/>
            <w:tcMar>
              <w:top w:w="0" w:type="dxa"/>
              <w:bottom w:w="0" w:type="dxa"/>
            </w:tcMar>
            <w:vAlign w:val="center"/>
          </w:tcPr>
          <w:p w14:paraId="58DC8B60" w14:textId="77777777" w:rsidR="00161CC3" w:rsidRDefault="00000000">
            <w:pPr>
              <w:keepNext/>
              <w:keepLines/>
              <w:spacing w:after="0" w:line="240" w:lineRule="auto"/>
            </w:pPr>
            <w:r>
              <w:rPr>
                <w:sz w:val="18"/>
              </w:rPr>
              <w:t>45</w:t>
            </w:r>
          </w:p>
        </w:tc>
        <w:tc>
          <w:tcPr>
            <w:tcW w:w="3180" w:type="dxa"/>
            <w:tcMar>
              <w:top w:w="0" w:type="dxa"/>
              <w:bottom w:w="0" w:type="dxa"/>
            </w:tcMar>
            <w:vAlign w:val="center"/>
          </w:tcPr>
          <w:p w14:paraId="1FDBD365" w14:textId="77777777" w:rsidR="00161CC3" w:rsidRDefault="00000000">
            <w:pPr>
              <w:keepNext/>
              <w:keepLines/>
              <w:spacing w:after="0" w:line="240" w:lineRule="auto"/>
            </w:pPr>
            <w:r>
              <w:rPr>
                <w:sz w:val="18"/>
              </w:rPr>
              <w:t>Rashodi za dodatna ulaganja na nefinancijskoj imovini (šifre 451 do 454)</w:t>
            </w:r>
          </w:p>
        </w:tc>
        <w:tc>
          <w:tcPr>
            <w:tcW w:w="700" w:type="dxa"/>
            <w:tcMar>
              <w:top w:w="0" w:type="dxa"/>
              <w:bottom w:w="0" w:type="dxa"/>
            </w:tcMar>
            <w:vAlign w:val="center"/>
          </w:tcPr>
          <w:p w14:paraId="4F498449" w14:textId="77777777" w:rsidR="00161CC3" w:rsidRDefault="00000000">
            <w:pPr>
              <w:keepNext/>
              <w:keepLines/>
              <w:spacing w:after="0" w:line="240" w:lineRule="auto"/>
            </w:pPr>
            <w:r>
              <w:rPr>
                <w:sz w:val="18"/>
              </w:rPr>
              <w:t>45</w:t>
            </w:r>
          </w:p>
        </w:tc>
        <w:tc>
          <w:tcPr>
            <w:tcW w:w="1860" w:type="dxa"/>
            <w:tcMar>
              <w:top w:w="0" w:type="dxa"/>
              <w:bottom w:w="0" w:type="dxa"/>
            </w:tcMar>
            <w:vAlign w:val="center"/>
          </w:tcPr>
          <w:p w14:paraId="5264C002" w14:textId="77777777" w:rsidR="00161CC3" w:rsidRDefault="00000000">
            <w:pPr>
              <w:keepNext/>
              <w:keepLines/>
              <w:spacing w:after="0" w:line="240" w:lineRule="auto"/>
              <w:jc w:val="right"/>
            </w:pPr>
            <w:r>
              <w:rPr>
                <w:sz w:val="18"/>
              </w:rPr>
              <w:t>0,00</w:t>
            </w:r>
          </w:p>
        </w:tc>
        <w:tc>
          <w:tcPr>
            <w:tcW w:w="1860" w:type="dxa"/>
            <w:tcMar>
              <w:top w:w="0" w:type="dxa"/>
              <w:bottom w:w="0" w:type="dxa"/>
            </w:tcMar>
            <w:vAlign w:val="center"/>
          </w:tcPr>
          <w:p w14:paraId="7E26DE3F" w14:textId="77777777" w:rsidR="00161CC3" w:rsidRDefault="00000000">
            <w:pPr>
              <w:keepNext/>
              <w:keepLines/>
              <w:spacing w:after="0" w:line="240" w:lineRule="auto"/>
              <w:jc w:val="right"/>
            </w:pPr>
            <w:r>
              <w:rPr>
                <w:sz w:val="18"/>
              </w:rPr>
              <w:t>33.400,00</w:t>
            </w:r>
          </w:p>
        </w:tc>
        <w:tc>
          <w:tcPr>
            <w:tcW w:w="700" w:type="dxa"/>
            <w:tcMar>
              <w:top w:w="0" w:type="dxa"/>
              <w:bottom w:w="0" w:type="dxa"/>
            </w:tcMar>
            <w:vAlign w:val="center"/>
          </w:tcPr>
          <w:p w14:paraId="342908B4" w14:textId="77777777" w:rsidR="00161CC3" w:rsidRDefault="00000000">
            <w:pPr>
              <w:keepNext/>
              <w:keepLines/>
              <w:spacing w:after="0" w:line="240" w:lineRule="auto"/>
              <w:jc w:val="right"/>
            </w:pPr>
            <w:r>
              <w:rPr>
                <w:sz w:val="18"/>
              </w:rPr>
              <w:t>-</w:t>
            </w:r>
          </w:p>
        </w:tc>
      </w:tr>
    </w:tbl>
    <w:p w14:paraId="18801DCC" w14:textId="77777777" w:rsidR="00161CC3" w:rsidRDefault="00161CC3">
      <w:pPr>
        <w:spacing w:after="0"/>
      </w:pPr>
    </w:p>
    <w:p w14:paraId="0603EA03" w14:textId="77777777" w:rsidR="00161CC3" w:rsidRDefault="00000000">
      <w:r>
        <w:t>Radi se o rashodima za dodatna ulaganja (zamjena ulaznih vrata) na gradskom stadionu te dodatna ulaganja u ostale građevinske objekte.</w:t>
      </w:r>
    </w:p>
    <w:p w14:paraId="5F3532D4" w14:textId="77777777" w:rsidR="00161CC3" w:rsidRDefault="00000000">
      <w:r>
        <w:t> </w:t>
      </w:r>
    </w:p>
    <w:p w14:paraId="16EBE2A2" w14:textId="77777777" w:rsidR="00161CC3" w:rsidRDefault="00161CC3"/>
    <w:p w14:paraId="72621EBD" w14:textId="77777777" w:rsidR="00161CC3"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282AEB8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423A36"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C005B4"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A7AD4C"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B00D76"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011AF8"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2747149" w14:textId="77777777" w:rsidR="00161CC3" w:rsidRDefault="00000000">
            <w:pPr>
              <w:keepNext/>
              <w:keepLines/>
              <w:spacing w:after="0" w:line="240" w:lineRule="auto"/>
              <w:jc w:val="center"/>
            </w:pPr>
            <w:r>
              <w:rPr>
                <w:b/>
                <w:sz w:val="18"/>
              </w:rPr>
              <w:t>Indeks (%)</w:t>
            </w:r>
          </w:p>
        </w:tc>
      </w:tr>
      <w:tr w:rsidR="00161CC3" w14:paraId="2761F045" w14:textId="77777777">
        <w:tblPrEx>
          <w:tblCellMar>
            <w:top w:w="0" w:type="dxa"/>
            <w:bottom w:w="0" w:type="dxa"/>
          </w:tblCellMar>
        </w:tblPrEx>
        <w:trPr>
          <w:cantSplit/>
          <w:trHeight w:val="560"/>
        </w:trPr>
        <w:tc>
          <w:tcPr>
            <w:tcW w:w="700" w:type="dxa"/>
            <w:tcMar>
              <w:top w:w="0" w:type="dxa"/>
              <w:bottom w:w="0" w:type="dxa"/>
            </w:tcMar>
            <w:vAlign w:val="center"/>
          </w:tcPr>
          <w:p w14:paraId="1199F34F" w14:textId="77777777" w:rsidR="00161CC3" w:rsidRDefault="00000000">
            <w:pPr>
              <w:keepNext/>
              <w:keepLines/>
              <w:spacing w:after="0" w:line="240" w:lineRule="auto"/>
            </w:pPr>
            <w:r>
              <w:rPr>
                <w:sz w:val="18"/>
              </w:rPr>
              <w:t>84</w:t>
            </w:r>
          </w:p>
        </w:tc>
        <w:tc>
          <w:tcPr>
            <w:tcW w:w="3180" w:type="dxa"/>
            <w:tcMar>
              <w:top w:w="0" w:type="dxa"/>
              <w:bottom w:w="0" w:type="dxa"/>
            </w:tcMar>
            <w:vAlign w:val="center"/>
          </w:tcPr>
          <w:p w14:paraId="5A17D4B2" w14:textId="77777777" w:rsidR="00161CC3" w:rsidRDefault="00000000">
            <w:pPr>
              <w:keepNext/>
              <w:keepLines/>
              <w:spacing w:after="0" w:line="240" w:lineRule="auto"/>
            </w:pPr>
            <w:r>
              <w:rPr>
                <w:sz w:val="18"/>
              </w:rPr>
              <w:t>Primici od zaduživanja (šifre 841+842+843+844+845+847)</w:t>
            </w:r>
          </w:p>
        </w:tc>
        <w:tc>
          <w:tcPr>
            <w:tcW w:w="700" w:type="dxa"/>
            <w:tcMar>
              <w:top w:w="0" w:type="dxa"/>
              <w:bottom w:w="0" w:type="dxa"/>
            </w:tcMar>
            <w:vAlign w:val="center"/>
          </w:tcPr>
          <w:p w14:paraId="5F4796F1" w14:textId="77777777" w:rsidR="00161CC3" w:rsidRDefault="00000000">
            <w:pPr>
              <w:keepNext/>
              <w:keepLines/>
              <w:spacing w:after="0" w:line="240" w:lineRule="auto"/>
            </w:pPr>
            <w:r>
              <w:rPr>
                <w:sz w:val="18"/>
              </w:rPr>
              <w:t>84</w:t>
            </w:r>
          </w:p>
        </w:tc>
        <w:tc>
          <w:tcPr>
            <w:tcW w:w="1860" w:type="dxa"/>
            <w:tcMar>
              <w:top w:w="0" w:type="dxa"/>
              <w:bottom w:w="0" w:type="dxa"/>
            </w:tcMar>
            <w:vAlign w:val="center"/>
          </w:tcPr>
          <w:p w14:paraId="58767311" w14:textId="77777777" w:rsidR="00161CC3" w:rsidRDefault="00000000">
            <w:pPr>
              <w:keepNext/>
              <w:keepLines/>
              <w:spacing w:after="0" w:line="240" w:lineRule="auto"/>
              <w:jc w:val="right"/>
            </w:pPr>
            <w:r>
              <w:rPr>
                <w:sz w:val="18"/>
              </w:rPr>
              <w:t>0,00</w:t>
            </w:r>
          </w:p>
        </w:tc>
        <w:tc>
          <w:tcPr>
            <w:tcW w:w="1860" w:type="dxa"/>
            <w:tcMar>
              <w:top w:w="0" w:type="dxa"/>
              <w:bottom w:w="0" w:type="dxa"/>
            </w:tcMar>
            <w:vAlign w:val="center"/>
          </w:tcPr>
          <w:p w14:paraId="53293302" w14:textId="77777777" w:rsidR="00161CC3" w:rsidRDefault="00000000">
            <w:pPr>
              <w:keepNext/>
              <w:keepLines/>
              <w:spacing w:after="0" w:line="240" w:lineRule="auto"/>
              <w:jc w:val="right"/>
            </w:pPr>
            <w:r>
              <w:rPr>
                <w:sz w:val="18"/>
              </w:rPr>
              <w:t>1.710.000,00</w:t>
            </w:r>
          </w:p>
        </w:tc>
        <w:tc>
          <w:tcPr>
            <w:tcW w:w="700" w:type="dxa"/>
            <w:tcMar>
              <w:top w:w="0" w:type="dxa"/>
              <w:bottom w:w="0" w:type="dxa"/>
            </w:tcMar>
            <w:vAlign w:val="center"/>
          </w:tcPr>
          <w:p w14:paraId="6E96B9C7" w14:textId="77777777" w:rsidR="00161CC3" w:rsidRDefault="00000000">
            <w:pPr>
              <w:keepNext/>
              <w:keepLines/>
              <w:spacing w:after="0" w:line="240" w:lineRule="auto"/>
              <w:jc w:val="right"/>
            </w:pPr>
            <w:r>
              <w:rPr>
                <w:sz w:val="18"/>
              </w:rPr>
              <w:t>-</w:t>
            </w:r>
          </w:p>
        </w:tc>
      </w:tr>
    </w:tbl>
    <w:p w14:paraId="734B4CF9" w14:textId="77777777" w:rsidR="00161CC3" w:rsidRDefault="00161CC3">
      <w:pPr>
        <w:spacing w:after="0"/>
      </w:pPr>
    </w:p>
    <w:p w14:paraId="2AD4D85B" w14:textId="77777777" w:rsidR="00161CC3" w:rsidRDefault="00000000">
      <w:r>
        <w:t>U promatranom razdoblju ostvareni su primici po osnovi odobrenih kredita u ukupnom iznosu od 1.710.000,00 EUR, od čega se iznos od 150.000,00 EUR odnosi na revolving kredit koji je korišten 6 dana u kolovozu 2025. godine nakon čega je izvršen povrat, dok se iznos od 1.560.000,00 EUR odnosi na isplatu dugoročnog kredita za gradnju i opremanje zgrade dječjeg vrtića u mjestu Vinež.</w:t>
      </w:r>
    </w:p>
    <w:p w14:paraId="427CE41D" w14:textId="77777777" w:rsidR="00161CC3" w:rsidRDefault="00000000">
      <w:r>
        <w:t> </w:t>
      </w:r>
    </w:p>
    <w:p w14:paraId="4C480A32" w14:textId="77777777" w:rsidR="00161CC3" w:rsidRDefault="00161CC3"/>
    <w:p w14:paraId="02BBFBF5" w14:textId="77777777" w:rsidR="00161CC3"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71E3D72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BD86AD"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1E455D3"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BD21E4"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C9EEEC"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EDF8E24"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5CD853" w14:textId="77777777" w:rsidR="00161CC3" w:rsidRDefault="00000000">
            <w:pPr>
              <w:keepNext/>
              <w:keepLines/>
              <w:spacing w:after="0" w:line="240" w:lineRule="auto"/>
              <w:jc w:val="center"/>
            </w:pPr>
            <w:r>
              <w:rPr>
                <w:b/>
                <w:sz w:val="18"/>
              </w:rPr>
              <w:t>Indeks (%)</w:t>
            </w:r>
          </w:p>
        </w:tc>
      </w:tr>
      <w:tr w:rsidR="00161CC3" w14:paraId="7DD15BA4" w14:textId="77777777">
        <w:tblPrEx>
          <w:tblCellMar>
            <w:top w:w="0" w:type="dxa"/>
            <w:bottom w:w="0" w:type="dxa"/>
          </w:tblCellMar>
        </w:tblPrEx>
        <w:trPr>
          <w:cantSplit/>
          <w:trHeight w:val="560"/>
        </w:trPr>
        <w:tc>
          <w:tcPr>
            <w:tcW w:w="700" w:type="dxa"/>
            <w:tcMar>
              <w:top w:w="0" w:type="dxa"/>
              <w:bottom w:w="0" w:type="dxa"/>
            </w:tcMar>
            <w:vAlign w:val="center"/>
          </w:tcPr>
          <w:p w14:paraId="4CC20A5F" w14:textId="77777777" w:rsidR="00161CC3" w:rsidRDefault="00000000">
            <w:pPr>
              <w:keepNext/>
              <w:keepLines/>
              <w:spacing w:after="0" w:line="240" w:lineRule="auto"/>
            </w:pPr>
            <w:r>
              <w:rPr>
                <w:sz w:val="18"/>
              </w:rPr>
              <w:t>5</w:t>
            </w:r>
          </w:p>
        </w:tc>
        <w:tc>
          <w:tcPr>
            <w:tcW w:w="3180" w:type="dxa"/>
            <w:tcMar>
              <w:top w:w="0" w:type="dxa"/>
              <w:bottom w:w="0" w:type="dxa"/>
            </w:tcMar>
            <w:vAlign w:val="center"/>
          </w:tcPr>
          <w:p w14:paraId="4B14CDA1" w14:textId="77777777" w:rsidR="00161CC3"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782181A3" w14:textId="77777777" w:rsidR="00161CC3" w:rsidRDefault="00000000">
            <w:pPr>
              <w:keepNext/>
              <w:keepLines/>
              <w:spacing w:after="0" w:line="240" w:lineRule="auto"/>
            </w:pPr>
            <w:r>
              <w:rPr>
                <w:sz w:val="18"/>
              </w:rPr>
              <w:t>5</w:t>
            </w:r>
          </w:p>
        </w:tc>
        <w:tc>
          <w:tcPr>
            <w:tcW w:w="1860" w:type="dxa"/>
            <w:tcMar>
              <w:top w:w="0" w:type="dxa"/>
              <w:bottom w:w="0" w:type="dxa"/>
            </w:tcMar>
            <w:vAlign w:val="center"/>
          </w:tcPr>
          <w:p w14:paraId="3877367D" w14:textId="77777777" w:rsidR="00161CC3" w:rsidRDefault="00000000">
            <w:pPr>
              <w:keepNext/>
              <w:keepLines/>
              <w:spacing w:after="0" w:line="240" w:lineRule="auto"/>
              <w:jc w:val="right"/>
            </w:pPr>
            <w:r>
              <w:rPr>
                <w:sz w:val="18"/>
              </w:rPr>
              <w:t>666.942,12</w:t>
            </w:r>
          </w:p>
        </w:tc>
        <w:tc>
          <w:tcPr>
            <w:tcW w:w="1860" w:type="dxa"/>
            <w:tcMar>
              <w:top w:w="0" w:type="dxa"/>
              <w:bottom w:w="0" w:type="dxa"/>
            </w:tcMar>
            <w:vAlign w:val="center"/>
          </w:tcPr>
          <w:p w14:paraId="50721F05" w14:textId="77777777" w:rsidR="00161CC3" w:rsidRDefault="00000000">
            <w:pPr>
              <w:keepNext/>
              <w:keepLines/>
              <w:spacing w:after="0" w:line="240" w:lineRule="auto"/>
              <w:jc w:val="right"/>
            </w:pPr>
            <w:r>
              <w:rPr>
                <w:sz w:val="18"/>
              </w:rPr>
              <w:t>816.942,12</w:t>
            </w:r>
          </w:p>
        </w:tc>
        <w:tc>
          <w:tcPr>
            <w:tcW w:w="700" w:type="dxa"/>
            <w:tcMar>
              <w:top w:w="0" w:type="dxa"/>
              <w:bottom w:w="0" w:type="dxa"/>
            </w:tcMar>
            <w:vAlign w:val="center"/>
          </w:tcPr>
          <w:p w14:paraId="451CD2D7" w14:textId="77777777" w:rsidR="00161CC3" w:rsidRDefault="00000000">
            <w:pPr>
              <w:keepNext/>
              <w:keepLines/>
              <w:spacing w:after="0" w:line="240" w:lineRule="auto"/>
              <w:jc w:val="right"/>
            </w:pPr>
            <w:r>
              <w:rPr>
                <w:sz w:val="18"/>
              </w:rPr>
              <w:t>122,5</w:t>
            </w:r>
          </w:p>
        </w:tc>
      </w:tr>
    </w:tbl>
    <w:p w14:paraId="63B5A51A" w14:textId="77777777" w:rsidR="00161CC3" w:rsidRDefault="00161CC3">
      <w:pPr>
        <w:spacing w:after="0"/>
      </w:pPr>
    </w:p>
    <w:p w14:paraId="4A8BC078" w14:textId="77777777" w:rsidR="00161CC3" w:rsidRDefault="00000000">
      <w:r>
        <w:t>Realizirani su u iznosu 816.942,12 EUR, a u odnosu na prethodnu godinu veći su za 150.000,00 EUR, što se odnosi na povrat korištenih sredstava revolving kredita.</w:t>
      </w:r>
    </w:p>
    <w:p w14:paraId="6E639641" w14:textId="77777777" w:rsidR="00161CC3" w:rsidRDefault="00000000">
      <w:r>
        <w:lastRenderedPageBreak/>
        <w:t>Pored navedenog revolving kredita, otplata se odnosi na zaduženje za otplatu glavnice kredita OTP banke za financiranje rekonstrukcije i dogradnje postojeće sportske dvorane sa pomoćnom dvoranom iz 2016. godine, kredita PBZ banke za izgradnju Doma za starije osobe u Labinu te kredita HABOR-a za obnovu i rekonstrukciju javne rasvjete. Obveze po primljenim zajmovima od banaka izvršavaju se u roku dospijeća.</w:t>
      </w:r>
    </w:p>
    <w:p w14:paraId="7D883392" w14:textId="77777777" w:rsidR="00161CC3" w:rsidRDefault="00000000">
      <w:r>
        <w:t> </w:t>
      </w:r>
    </w:p>
    <w:p w14:paraId="6D2F60E5" w14:textId="77777777" w:rsidR="00161CC3" w:rsidRDefault="00161CC3"/>
    <w:p w14:paraId="4DA530F2" w14:textId="77777777" w:rsidR="00161CC3"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4E3E688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538237"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FB74AB3"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B9A33F"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B88938"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750150"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C016FA" w14:textId="77777777" w:rsidR="00161CC3" w:rsidRDefault="00000000">
            <w:pPr>
              <w:keepNext/>
              <w:keepLines/>
              <w:spacing w:after="0" w:line="240" w:lineRule="auto"/>
              <w:jc w:val="center"/>
            </w:pPr>
            <w:r>
              <w:rPr>
                <w:b/>
                <w:sz w:val="18"/>
              </w:rPr>
              <w:t>Indeks (%)</w:t>
            </w:r>
          </w:p>
        </w:tc>
      </w:tr>
      <w:tr w:rsidR="00161CC3" w14:paraId="0CF2E9BE" w14:textId="77777777">
        <w:tblPrEx>
          <w:tblCellMar>
            <w:top w:w="0" w:type="dxa"/>
            <w:bottom w:w="0" w:type="dxa"/>
          </w:tblCellMar>
        </w:tblPrEx>
        <w:trPr>
          <w:cantSplit/>
          <w:trHeight w:val="560"/>
        </w:trPr>
        <w:tc>
          <w:tcPr>
            <w:tcW w:w="700" w:type="dxa"/>
            <w:tcMar>
              <w:top w:w="0" w:type="dxa"/>
              <w:bottom w:w="0" w:type="dxa"/>
            </w:tcMar>
            <w:vAlign w:val="center"/>
          </w:tcPr>
          <w:p w14:paraId="4B3C2E73" w14:textId="77777777" w:rsidR="00161CC3" w:rsidRDefault="00161CC3">
            <w:pPr>
              <w:keepNext/>
              <w:keepLines/>
              <w:spacing w:after="0" w:line="240" w:lineRule="auto"/>
            </w:pPr>
          </w:p>
        </w:tc>
        <w:tc>
          <w:tcPr>
            <w:tcW w:w="3180" w:type="dxa"/>
            <w:tcMar>
              <w:top w:w="0" w:type="dxa"/>
              <w:bottom w:w="0" w:type="dxa"/>
            </w:tcMar>
            <w:vAlign w:val="center"/>
          </w:tcPr>
          <w:p w14:paraId="5ECEC8D8" w14:textId="77777777" w:rsidR="00161CC3" w:rsidRDefault="00000000">
            <w:pPr>
              <w:keepNext/>
              <w:keepLines/>
              <w:spacing w:after="0" w:line="240" w:lineRule="auto"/>
            </w:pPr>
            <w:r>
              <w:rPr>
                <w:sz w:val="18"/>
              </w:rPr>
              <w:t>VIŠAK PRIHODA I PRIMITAKA (šifre X678-Y345)</w:t>
            </w:r>
          </w:p>
        </w:tc>
        <w:tc>
          <w:tcPr>
            <w:tcW w:w="700" w:type="dxa"/>
            <w:tcMar>
              <w:top w:w="0" w:type="dxa"/>
              <w:bottom w:w="0" w:type="dxa"/>
            </w:tcMar>
            <w:vAlign w:val="center"/>
          </w:tcPr>
          <w:p w14:paraId="3DFBE2DB" w14:textId="77777777" w:rsidR="00161CC3" w:rsidRDefault="00000000">
            <w:pPr>
              <w:keepNext/>
              <w:keepLines/>
              <w:spacing w:after="0" w:line="240" w:lineRule="auto"/>
            </w:pPr>
            <w:r>
              <w:rPr>
                <w:sz w:val="18"/>
              </w:rPr>
              <w:t>X005</w:t>
            </w:r>
          </w:p>
        </w:tc>
        <w:tc>
          <w:tcPr>
            <w:tcW w:w="1860" w:type="dxa"/>
            <w:tcMar>
              <w:top w:w="0" w:type="dxa"/>
              <w:bottom w:w="0" w:type="dxa"/>
            </w:tcMar>
            <w:vAlign w:val="center"/>
          </w:tcPr>
          <w:p w14:paraId="033AC3FA" w14:textId="77777777" w:rsidR="00161CC3" w:rsidRDefault="00000000">
            <w:pPr>
              <w:keepNext/>
              <w:keepLines/>
              <w:spacing w:after="0" w:line="240" w:lineRule="auto"/>
              <w:jc w:val="right"/>
            </w:pPr>
            <w:r>
              <w:rPr>
                <w:sz w:val="18"/>
              </w:rPr>
              <w:t>184.797,79</w:t>
            </w:r>
          </w:p>
        </w:tc>
        <w:tc>
          <w:tcPr>
            <w:tcW w:w="1860" w:type="dxa"/>
            <w:tcMar>
              <w:top w:w="0" w:type="dxa"/>
              <w:bottom w:w="0" w:type="dxa"/>
            </w:tcMar>
            <w:vAlign w:val="center"/>
          </w:tcPr>
          <w:p w14:paraId="007D0E30" w14:textId="77777777" w:rsidR="00161CC3" w:rsidRDefault="00000000">
            <w:pPr>
              <w:keepNext/>
              <w:keepLines/>
              <w:spacing w:after="0" w:line="240" w:lineRule="auto"/>
              <w:jc w:val="right"/>
            </w:pPr>
            <w:r>
              <w:rPr>
                <w:sz w:val="18"/>
              </w:rPr>
              <w:t>69.826,73</w:t>
            </w:r>
          </w:p>
        </w:tc>
        <w:tc>
          <w:tcPr>
            <w:tcW w:w="700" w:type="dxa"/>
            <w:tcMar>
              <w:top w:w="0" w:type="dxa"/>
              <w:bottom w:w="0" w:type="dxa"/>
            </w:tcMar>
            <w:vAlign w:val="center"/>
          </w:tcPr>
          <w:p w14:paraId="5895FC0A" w14:textId="77777777" w:rsidR="00161CC3" w:rsidRDefault="00000000">
            <w:pPr>
              <w:keepNext/>
              <w:keepLines/>
              <w:spacing w:after="0" w:line="240" w:lineRule="auto"/>
              <w:jc w:val="right"/>
            </w:pPr>
            <w:r>
              <w:rPr>
                <w:sz w:val="18"/>
              </w:rPr>
              <w:t>37,8</w:t>
            </w:r>
          </w:p>
        </w:tc>
      </w:tr>
    </w:tbl>
    <w:p w14:paraId="5DFDC3C9" w14:textId="77777777" w:rsidR="00161CC3" w:rsidRDefault="00161CC3">
      <w:pPr>
        <w:spacing w:after="0"/>
      </w:pPr>
    </w:p>
    <w:p w14:paraId="6B4CE4D6" w14:textId="77777777" w:rsidR="00161CC3" w:rsidRDefault="00000000">
      <w:r>
        <w:t>Ostvaren je u iznosu od 69.826,73 eura.  Sastoji se od  Viška prihoda poslovanja u iznosu od 1.986.219,37 eura,  Manjka prihoda od nefinancijske imovine u iznosu od 2.809.450,52 eura i  Viška primitaka od financijske imovine i zaduživanja u iznosu od 893.057,88 eura.</w:t>
      </w:r>
    </w:p>
    <w:p w14:paraId="7FF3D861" w14:textId="77777777" w:rsidR="00161CC3" w:rsidRDefault="00161CC3"/>
    <w:p w14:paraId="48C0FE25" w14:textId="77777777" w:rsidR="00161CC3"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471A323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E2A37D"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7A6C847"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5E2BC6"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C23EEC"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F49E1B"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623865" w14:textId="77777777" w:rsidR="00161CC3" w:rsidRDefault="00000000">
            <w:pPr>
              <w:keepNext/>
              <w:keepLines/>
              <w:spacing w:after="0" w:line="240" w:lineRule="auto"/>
              <w:jc w:val="center"/>
            </w:pPr>
            <w:r>
              <w:rPr>
                <w:b/>
                <w:sz w:val="18"/>
              </w:rPr>
              <w:t>Indeks (%)</w:t>
            </w:r>
          </w:p>
        </w:tc>
      </w:tr>
      <w:tr w:rsidR="00161CC3" w14:paraId="7F6CFF9D" w14:textId="77777777">
        <w:tblPrEx>
          <w:tblCellMar>
            <w:top w:w="0" w:type="dxa"/>
            <w:bottom w:w="0" w:type="dxa"/>
          </w:tblCellMar>
        </w:tblPrEx>
        <w:trPr>
          <w:cantSplit/>
          <w:trHeight w:val="560"/>
        </w:trPr>
        <w:tc>
          <w:tcPr>
            <w:tcW w:w="700" w:type="dxa"/>
            <w:tcMar>
              <w:top w:w="0" w:type="dxa"/>
              <w:bottom w:w="0" w:type="dxa"/>
            </w:tcMar>
            <w:vAlign w:val="center"/>
          </w:tcPr>
          <w:p w14:paraId="5305324F" w14:textId="77777777" w:rsidR="00161CC3" w:rsidRDefault="00000000">
            <w:pPr>
              <w:keepNext/>
              <w:keepLines/>
              <w:spacing w:after="0" w:line="240" w:lineRule="auto"/>
            </w:pPr>
            <w:r>
              <w:rPr>
                <w:sz w:val="18"/>
              </w:rPr>
              <w:t>9221-9222</w:t>
            </w:r>
          </w:p>
        </w:tc>
        <w:tc>
          <w:tcPr>
            <w:tcW w:w="3180" w:type="dxa"/>
            <w:tcMar>
              <w:top w:w="0" w:type="dxa"/>
              <w:bottom w:w="0" w:type="dxa"/>
            </w:tcMar>
            <w:vAlign w:val="center"/>
          </w:tcPr>
          <w:p w14:paraId="0967E1BC" w14:textId="77777777" w:rsidR="00161CC3" w:rsidRDefault="00000000">
            <w:pPr>
              <w:keepNext/>
              <w:keepLines/>
              <w:spacing w:after="0" w:line="240" w:lineRule="auto"/>
            </w:pPr>
            <w:r>
              <w:rPr>
                <w:sz w:val="18"/>
              </w:rPr>
              <w:t>Višak prihoda i primitaka - preneseni (šifre '9221x,9222x VP' - '9221x,9222x MP' + 92213 - 92223)</w:t>
            </w:r>
          </w:p>
        </w:tc>
        <w:tc>
          <w:tcPr>
            <w:tcW w:w="700" w:type="dxa"/>
            <w:tcMar>
              <w:top w:w="0" w:type="dxa"/>
              <w:bottom w:w="0" w:type="dxa"/>
            </w:tcMar>
            <w:vAlign w:val="center"/>
          </w:tcPr>
          <w:p w14:paraId="714BA563" w14:textId="77777777" w:rsidR="00161CC3" w:rsidRDefault="00000000">
            <w:pPr>
              <w:keepNext/>
              <w:keepLines/>
              <w:spacing w:after="0" w:line="240" w:lineRule="auto"/>
            </w:pPr>
            <w:r>
              <w:rPr>
                <w:sz w:val="18"/>
              </w:rPr>
              <w:t>9221-9222</w:t>
            </w:r>
          </w:p>
        </w:tc>
        <w:tc>
          <w:tcPr>
            <w:tcW w:w="1860" w:type="dxa"/>
            <w:tcMar>
              <w:top w:w="0" w:type="dxa"/>
              <w:bottom w:w="0" w:type="dxa"/>
            </w:tcMar>
            <w:vAlign w:val="center"/>
          </w:tcPr>
          <w:p w14:paraId="7E14BABA" w14:textId="77777777" w:rsidR="00161CC3" w:rsidRDefault="00000000">
            <w:pPr>
              <w:keepNext/>
              <w:keepLines/>
              <w:spacing w:after="0" w:line="240" w:lineRule="auto"/>
              <w:jc w:val="right"/>
            </w:pPr>
            <w:r>
              <w:rPr>
                <w:sz w:val="18"/>
              </w:rPr>
              <w:t>612.381,47</w:t>
            </w:r>
          </w:p>
        </w:tc>
        <w:tc>
          <w:tcPr>
            <w:tcW w:w="1860" w:type="dxa"/>
            <w:tcMar>
              <w:top w:w="0" w:type="dxa"/>
              <w:bottom w:w="0" w:type="dxa"/>
            </w:tcMar>
            <w:vAlign w:val="center"/>
          </w:tcPr>
          <w:p w14:paraId="7C4C63D5" w14:textId="77777777" w:rsidR="00161CC3" w:rsidRDefault="00000000">
            <w:pPr>
              <w:keepNext/>
              <w:keepLines/>
              <w:spacing w:after="0" w:line="240" w:lineRule="auto"/>
              <w:jc w:val="right"/>
            </w:pPr>
            <w:r>
              <w:rPr>
                <w:sz w:val="18"/>
              </w:rPr>
              <w:t>795.756,36</w:t>
            </w:r>
          </w:p>
        </w:tc>
        <w:tc>
          <w:tcPr>
            <w:tcW w:w="700" w:type="dxa"/>
            <w:tcMar>
              <w:top w:w="0" w:type="dxa"/>
              <w:bottom w:w="0" w:type="dxa"/>
            </w:tcMar>
            <w:vAlign w:val="center"/>
          </w:tcPr>
          <w:p w14:paraId="199EE2BC" w14:textId="77777777" w:rsidR="00161CC3" w:rsidRDefault="00000000">
            <w:pPr>
              <w:keepNext/>
              <w:keepLines/>
              <w:spacing w:after="0" w:line="240" w:lineRule="auto"/>
              <w:jc w:val="right"/>
            </w:pPr>
            <w:r>
              <w:rPr>
                <w:sz w:val="18"/>
              </w:rPr>
              <w:t>129,9</w:t>
            </w:r>
          </w:p>
        </w:tc>
      </w:tr>
    </w:tbl>
    <w:p w14:paraId="13972884" w14:textId="77777777" w:rsidR="00161CC3" w:rsidRDefault="00161CC3">
      <w:pPr>
        <w:spacing w:after="0"/>
      </w:pPr>
    </w:p>
    <w:p w14:paraId="28FA1ACF" w14:textId="77777777" w:rsidR="00161CC3" w:rsidRDefault="00000000">
      <w:r>
        <w:t>Višak prihoda i primitaka - preneseni iznosi 795.756,36 eura i sastoji se od: Viška prihoda poslovanja 922110  854.048,91eura Manjka prihoda od nefinancijske imovine 922220  58.292,55 eura.</w:t>
      </w:r>
    </w:p>
    <w:p w14:paraId="1DE33C49" w14:textId="77777777" w:rsidR="00161CC3" w:rsidRDefault="00161CC3"/>
    <w:p w14:paraId="318C8221" w14:textId="77777777" w:rsidR="00161CC3"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12F75D1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68FC02"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98D8A1"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BB74B9"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79CE0D"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E29155"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EE1DBA" w14:textId="77777777" w:rsidR="00161CC3" w:rsidRDefault="00000000">
            <w:pPr>
              <w:keepNext/>
              <w:keepLines/>
              <w:spacing w:after="0" w:line="240" w:lineRule="auto"/>
              <w:jc w:val="center"/>
            </w:pPr>
            <w:r>
              <w:rPr>
                <w:b/>
                <w:sz w:val="18"/>
              </w:rPr>
              <w:t>Indeks (%)</w:t>
            </w:r>
          </w:p>
        </w:tc>
      </w:tr>
      <w:tr w:rsidR="00161CC3" w14:paraId="1D037FB9" w14:textId="77777777">
        <w:tblPrEx>
          <w:tblCellMar>
            <w:top w:w="0" w:type="dxa"/>
            <w:bottom w:w="0" w:type="dxa"/>
          </w:tblCellMar>
        </w:tblPrEx>
        <w:trPr>
          <w:cantSplit/>
          <w:trHeight w:val="560"/>
        </w:trPr>
        <w:tc>
          <w:tcPr>
            <w:tcW w:w="700" w:type="dxa"/>
            <w:tcMar>
              <w:top w:w="0" w:type="dxa"/>
              <w:bottom w:w="0" w:type="dxa"/>
            </w:tcMar>
            <w:vAlign w:val="center"/>
          </w:tcPr>
          <w:p w14:paraId="36BAD9C7" w14:textId="77777777" w:rsidR="00161CC3" w:rsidRDefault="00161CC3">
            <w:pPr>
              <w:keepNext/>
              <w:keepLines/>
              <w:spacing w:after="0" w:line="240" w:lineRule="auto"/>
            </w:pPr>
          </w:p>
        </w:tc>
        <w:tc>
          <w:tcPr>
            <w:tcW w:w="3180" w:type="dxa"/>
            <w:tcMar>
              <w:top w:w="0" w:type="dxa"/>
              <w:bottom w:w="0" w:type="dxa"/>
            </w:tcMar>
            <w:vAlign w:val="center"/>
          </w:tcPr>
          <w:p w14:paraId="39417764" w14:textId="77777777" w:rsidR="00161CC3" w:rsidRDefault="00000000">
            <w:pPr>
              <w:keepNext/>
              <w:keepLines/>
              <w:spacing w:after="0" w:line="240" w:lineRule="auto"/>
            </w:pPr>
            <w:r>
              <w:rPr>
                <w:sz w:val="18"/>
              </w:rPr>
              <w:t>Višak prihoda i primitaka raspoloživ u sljedećem razdoblju (šifre X005 + '9221-9222' - Y005 - '9222-9221')</w:t>
            </w:r>
          </w:p>
        </w:tc>
        <w:tc>
          <w:tcPr>
            <w:tcW w:w="700" w:type="dxa"/>
            <w:tcMar>
              <w:top w:w="0" w:type="dxa"/>
              <w:bottom w:w="0" w:type="dxa"/>
            </w:tcMar>
            <w:vAlign w:val="center"/>
          </w:tcPr>
          <w:p w14:paraId="1F8E17D7" w14:textId="77777777" w:rsidR="00161CC3" w:rsidRDefault="00000000">
            <w:pPr>
              <w:keepNext/>
              <w:keepLines/>
              <w:spacing w:after="0" w:line="240" w:lineRule="auto"/>
            </w:pPr>
            <w:r>
              <w:rPr>
                <w:sz w:val="18"/>
              </w:rPr>
              <w:t>X006</w:t>
            </w:r>
          </w:p>
        </w:tc>
        <w:tc>
          <w:tcPr>
            <w:tcW w:w="1860" w:type="dxa"/>
            <w:tcMar>
              <w:top w:w="0" w:type="dxa"/>
              <w:bottom w:w="0" w:type="dxa"/>
            </w:tcMar>
            <w:vAlign w:val="center"/>
          </w:tcPr>
          <w:p w14:paraId="293544C9" w14:textId="77777777" w:rsidR="00161CC3" w:rsidRDefault="00000000">
            <w:pPr>
              <w:keepNext/>
              <w:keepLines/>
              <w:spacing w:after="0" w:line="240" w:lineRule="auto"/>
              <w:jc w:val="right"/>
            </w:pPr>
            <w:r>
              <w:rPr>
                <w:sz w:val="18"/>
              </w:rPr>
              <w:t>797.179,26</w:t>
            </w:r>
          </w:p>
        </w:tc>
        <w:tc>
          <w:tcPr>
            <w:tcW w:w="1860" w:type="dxa"/>
            <w:tcMar>
              <w:top w:w="0" w:type="dxa"/>
              <w:bottom w:w="0" w:type="dxa"/>
            </w:tcMar>
            <w:vAlign w:val="center"/>
          </w:tcPr>
          <w:p w14:paraId="7B9C96E7" w14:textId="77777777" w:rsidR="00161CC3" w:rsidRDefault="00000000">
            <w:pPr>
              <w:keepNext/>
              <w:keepLines/>
              <w:spacing w:after="0" w:line="240" w:lineRule="auto"/>
              <w:jc w:val="right"/>
            </w:pPr>
            <w:r>
              <w:rPr>
                <w:sz w:val="18"/>
              </w:rPr>
              <w:t>865.583,09</w:t>
            </w:r>
          </w:p>
        </w:tc>
        <w:tc>
          <w:tcPr>
            <w:tcW w:w="700" w:type="dxa"/>
            <w:tcMar>
              <w:top w:w="0" w:type="dxa"/>
              <w:bottom w:w="0" w:type="dxa"/>
            </w:tcMar>
            <w:vAlign w:val="center"/>
          </w:tcPr>
          <w:p w14:paraId="41560B7D" w14:textId="77777777" w:rsidR="00161CC3" w:rsidRDefault="00000000">
            <w:pPr>
              <w:keepNext/>
              <w:keepLines/>
              <w:spacing w:after="0" w:line="240" w:lineRule="auto"/>
              <w:jc w:val="right"/>
            </w:pPr>
            <w:r>
              <w:rPr>
                <w:sz w:val="18"/>
              </w:rPr>
              <w:t>108,6</w:t>
            </w:r>
          </w:p>
        </w:tc>
      </w:tr>
    </w:tbl>
    <w:p w14:paraId="2A47905C" w14:textId="77777777" w:rsidR="00161CC3" w:rsidRDefault="00161CC3">
      <w:pPr>
        <w:spacing w:after="0"/>
      </w:pPr>
    </w:p>
    <w:p w14:paraId="1679DD16" w14:textId="77777777" w:rsidR="00161CC3" w:rsidRDefault="00000000">
      <w:r>
        <w:t>Višak prihoda i primitaka raspoloživ u sljedećem razdoblju iznosi 865.583,09 eura i razlika je prenesenog viška u iznosu od 795.756,36  eura te ostvarenog viška za izvještajno razdoblje 2025. godine u iznosu od 69.826,73 eura.</w:t>
      </w:r>
    </w:p>
    <w:p w14:paraId="5C23494A" w14:textId="77777777" w:rsidR="00161CC3" w:rsidRDefault="00161CC3"/>
    <w:p w14:paraId="50BF93D8" w14:textId="77777777" w:rsidR="00161CC3" w:rsidRDefault="00000000">
      <w:pPr>
        <w:keepNext/>
        <w:spacing w:line="240" w:lineRule="auto"/>
        <w:jc w:val="center"/>
      </w:pPr>
      <w:r>
        <w:rPr>
          <w:sz w:val="28"/>
        </w:rPr>
        <w:lastRenderedPageBreak/>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6B1677A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9797E3"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AAD82D"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3401B9"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330C11"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62DDA9"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DE9567" w14:textId="77777777" w:rsidR="00161CC3" w:rsidRDefault="00000000">
            <w:pPr>
              <w:keepNext/>
              <w:keepLines/>
              <w:spacing w:after="0" w:line="240" w:lineRule="auto"/>
              <w:jc w:val="center"/>
            </w:pPr>
            <w:r>
              <w:rPr>
                <w:b/>
                <w:sz w:val="18"/>
              </w:rPr>
              <w:t>Indeks (%)</w:t>
            </w:r>
          </w:p>
        </w:tc>
      </w:tr>
      <w:tr w:rsidR="00161CC3" w14:paraId="7B16EF44" w14:textId="77777777">
        <w:tblPrEx>
          <w:tblCellMar>
            <w:top w:w="0" w:type="dxa"/>
            <w:bottom w:w="0" w:type="dxa"/>
          </w:tblCellMar>
        </w:tblPrEx>
        <w:trPr>
          <w:cantSplit/>
          <w:trHeight w:val="560"/>
        </w:trPr>
        <w:tc>
          <w:tcPr>
            <w:tcW w:w="700" w:type="dxa"/>
            <w:tcMar>
              <w:top w:w="0" w:type="dxa"/>
              <w:bottom w:w="0" w:type="dxa"/>
            </w:tcMar>
            <w:vAlign w:val="center"/>
          </w:tcPr>
          <w:p w14:paraId="57F9C0A6" w14:textId="77777777" w:rsidR="00161CC3" w:rsidRDefault="00000000">
            <w:pPr>
              <w:keepNext/>
              <w:keepLines/>
              <w:spacing w:after="0" w:line="240" w:lineRule="auto"/>
            </w:pPr>
            <w:r>
              <w:rPr>
                <w:sz w:val="18"/>
              </w:rPr>
              <w:t>11</w:t>
            </w:r>
          </w:p>
        </w:tc>
        <w:tc>
          <w:tcPr>
            <w:tcW w:w="3180" w:type="dxa"/>
            <w:tcMar>
              <w:top w:w="0" w:type="dxa"/>
              <w:bottom w:w="0" w:type="dxa"/>
            </w:tcMar>
            <w:vAlign w:val="center"/>
          </w:tcPr>
          <w:p w14:paraId="23607EF1" w14:textId="77777777" w:rsidR="00161CC3" w:rsidRDefault="00000000">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14:paraId="47F2A6D6" w14:textId="77777777" w:rsidR="00161CC3" w:rsidRDefault="00000000">
            <w:pPr>
              <w:keepNext/>
              <w:keepLines/>
              <w:spacing w:after="0" w:line="240" w:lineRule="auto"/>
            </w:pPr>
            <w:r>
              <w:rPr>
                <w:sz w:val="18"/>
              </w:rPr>
              <w:t>11K</w:t>
            </w:r>
          </w:p>
        </w:tc>
        <w:tc>
          <w:tcPr>
            <w:tcW w:w="1860" w:type="dxa"/>
            <w:tcMar>
              <w:top w:w="0" w:type="dxa"/>
              <w:bottom w:w="0" w:type="dxa"/>
            </w:tcMar>
            <w:vAlign w:val="center"/>
          </w:tcPr>
          <w:p w14:paraId="42F73DED" w14:textId="77777777" w:rsidR="00161CC3" w:rsidRDefault="00000000">
            <w:pPr>
              <w:keepNext/>
              <w:keepLines/>
              <w:spacing w:after="0" w:line="240" w:lineRule="auto"/>
              <w:jc w:val="right"/>
            </w:pPr>
            <w:r>
              <w:rPr>
                <w:sz w:val="18"/>
              </w:rPr>
              <w:t>1.909.464,75</w:t>
            </w:r>
          </w:p>
        </w:tc>
        <w:tc>
          <w:tcPr>
            <w:tcW w:w="1860" w:type="dxa"/>
            <w:tcMar>
              <w:top w:w="0" w:type="dxa"/>
              <w:bottom w:w="0" w:type="dxa"/>
            </w:tcMar>
            <w:vAlign w:val="center"/>
          </w:tcPr>
          <w:p w14:paraId="220F934D" w14:textId="77777777" w:rsidR="00161CC3" w:rsidRDefault="00000000">
            <w:pPr>
              <w:keepNext/>
              <w:keepLines/>
              <w:spacing w:after="0" w:line="240" w:lineRule="auto"/>
              <w:jc w:val="right"/>
            </w:pPr>
            <w:r>
              <w:rPr>
                <w:sz w:val="18"/>
              </w:rPr>
              <w:t>1.835.238,88</w:t>
            </w:r>
          </w:p>
        </w:tc>
        <w:tc>
          <w:tcPr>
            <w:tcW w:w="700" w:type="dxa"/>
            <w:tcMar>
              <w:top w:w="0" w:type="dxa"/>
              <w:bottom w:w="0" w:type="dxa"/>
            </w:tcMar>
            <w:vAlign w:val="center"/>
          </w:tcPr>
          <w:p w14:paraId="4A92C185" w14:textId="77777777" w:rsidR="00161CC3" w:rsidRDefault="00000000">
            <w:pPr>
              <w:keepNext/>
              <w:keepLines/>
              <w:spacing w:after="0" w:line="240" w:lineRule="auto"/>
              <w:jc w:val="right"/>
            </w:pPr>
            <w:r>
              <w:rPr>
                <w:sz w:val="18"/>
              </w:rPr>
              <w:t>96,1</w:t>
            </w:r>
          </w:p>
        </w:tc>
      </w:tr>
    </w:tbl>
    <w:p w14:paraId="39E60FBF" w14:textId="77777777" w:rsidR="00161CC3" w:rsidRDefault="00161CC3">
      <w:pPr>
        <w:spacing w:after="0"/>
      </w:pPr>
    </w:p>
    <w:p w14:paraId="49F6D898" w14:textId="77777777" w:rsidR="00161CC3" w:rsidRDefault="00000000">
      <w:r>
        <w:t xml:space="preserve">Stanje novčanih sredstava na početku razdoblja iznosi 1.909.464754 eura dok na kraju izvještajnog razdoblja odnosno 31.12.2025. godine iznosi 1.835.238,88 eura. Gore navedeni iznos sadrži sredstva na euro računu u iznosu od 1.800.139,66 eura (izvadak računa 365 od 31. prosinca 2025. godine), uvećan za sredstva za nabavku </w:t>
      </w:r>
      <w:proofErr w:type="spellStart"/>
      <w:r>
        <w:t>mamografa</w:t>
      </w:r>
      <w:proofErr w:type="spellEnd"/>
      <w:r>
        <w:t xml:space="preserve"> u iznosu od 35.077,66 eura (izvadak računa 16 od 10.12.2025.) te devizna sredstva u iznosu od 5,00 USD ( 4,25 eura) za nabavku </w:t>
      </w:r>
      <w:proofErr w:type="spellStart"/>
      <w:r>
        <w:t>mamografa</w:t>
      </w:r>
      <w:proofErr w:type="spellEnd"/>
      <w:r>
        <w:t xml:space="preserve">  ( izvadak računa broj 001 od 02.01.2024. godine ) i devizna sredstva u iznosu 16,09 CHF = 17,31 eura (izvadak računa broj 001 od 04.06.2025. godine). Stanje na žiro računu prikazuje stanje novčanih sredstava grada Labina i svih njegovih proračunskih  korisnika, budući da imamo uspostavljenu lokalnu riznicu sa našim proračunskim korisnicima.</w:t>
      </w:r>
    </w:p>
    <w:p w14:paraId="1DE020A1" w14:textId="77777777" w:rsidR="00161CC3" w:rsidRDefault="00161CC3"/>
    <w:p w14:paraId="3A50790F" w14:textId="77777777" w:rsidR="00161CC3" w:rsidRDefault="00000000">
      <w:pPr>
        <w:keepNext/>
        <w:spacing w:line="240" w:lineRule="auto"/>
        <w:jc w:val="center"/>
      </w:pPr>
      <w:r>
        <w:rPr>
          <w:b/>
          <w:sz w:val="28"/>
        </w:rPr>
        <w:t>Bilanca</w:t>
      </w:r>
    </w:p>
    <w:p w14:paraId="3C41139C" w14:textId="77777777" w:rsidR="00161CC3"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0B94F8C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9A1560"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32C536"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C49170"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0C7A50" w14:textId="77777777" w:rsidR="00161CC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0BD1606" w14:textId="77777777" w:rsidR="00161CC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102982D" w14:textId="77777777" w:rsidR="00161CC3" w:rsidRDefault="00000000">
            <w:pPr>
              <w:keepNext/>
              <w:keepLines/>
              <w:spacing w:after="0" w:line="240" w:lineRule="auto"/>
              <w:jc w:val="center"/>
            </w:pPr>
            <w:r>
              <w:rPr>
                <w:b/>
                <w:sz w:val="18"/>
              </w:rPr>
              <w:t>Indeks (%)</w:t>
            </w:r>
          </w:p>
        </w:tc>
      </w:tr>
      <w:tr w:rsidR="00161CC3" w14:paraId="7F663457" w14:textId="77777777">
        <w:tblPrEx>
          <w:tblCellMar>
            <w:top w:w="0" w:type="dxa"/>
            <w:bottom w:w="0" w:type="dxa"/>
          </w:tblCellMar>
        </w:tblPrEx>
        <w:trPr>
          <w:cantSplit/>
          <w:trHeight w:val="560"/>
        </w:trPr>
        <w:tc>
          <w:tcPr>
            <w:tcW w:w="700" w:type="dxa"/>
            <w:tcMar>
              <w:top w:w="0" w:type="dxa"/>
              <w:bottom w:w="0" w:type="dxa"/>
            </w:tcMar>
            <w:vAlign w:val="center"/>
          </w:tcPr>
          <w:p w14:paraId="6D1998A0" w14:textId="77777777" w:rsidR="00161CC3" w:rsidRDefault="00000000">
            <w:pPr>
              <w:keepNext/>
              <w:keepLines/>
              <w:spacing w:after="0" w:line="240" w:lineRule="auto"/>
            </w:pPr>
            <w:r>
              <w:rPr>
                <w:sz w:val="18"/>
              </w:rPr>
              <w:t>021 i 02921</w:t>
            </w:r>
          </w:p>
        </w:tc>
        <w:tc>
          <w:tcPr>
            <w:tcW w:w="3180" w:type="dxa"/>
            <w:tcMar>
              <w:top w:w="0" w:type="dxa"/>
              <w:bottom w:w="0" w:type="dxa"/>
            </w:tcMar>
            <w:vAlign w:val="center"/>
          </w:tcPr>
          <w:p w14:paraId="0A012F42" w14:textId="77777777" w:rsidR="00161CC3" w:rsidRDefault="00000000">
            <w:pPr>
              <w:keepNext/>
              <w:keepLines/>
              <w:spacing w:after="0" w:line="240" w:lineRule="auto"/>
            </w:pPr>
            <w:r>
              <w:rPr>
                <w:sz w:val="18"/>
              </w:rPr>
              <w:t>Građevinski objekti (šifre 0211 do 0214 - 02921)</w:t>
            </w:r>
          </w:p>
        </w:tc>
        <w:tc>
          <w:tcPr>
            <w:tcW w:w="700" w:type="dxa"/>
            <w:tcMar>
              <w:top w:w="0" w:type="dxa"/>
              <w:bottom w:w="0" w:type="dxa"/>
            </w:tcMar>
            <w:vAlign w:val="center"/>
          </w:tcPr>
          <w:p w14:paraId="6A7EB7A3" w14:textId="77777777" w:rsidR="00161CC3" w:rsidRDefault="00000000">
            <w:pPr>
              <w:keepNext/>
              <w:keepLines/>
              <w:spacing w:after="0" w:line="240" w:lineRule="auto"/>
            </w:pPr>
            <w:r>
              <w:rPr>
                <w:sz w:val="18"/>
              </w:rPr>
              <w:t>021 i 02921</w:t>
            </w:r>
          </w:p>
        </w:tc>
        <w:tc>
          <w:tcPr>
            <w:tcW w:w="1860" w:type="dxa"/>
            <w:tcMar>
              <w:top w:w="0" w:type="dxa"/>
              <w:bottom w:w="0" w:type="dxa"/>
            </w:tcMar>
            <w:vAlign w:val="center"/>
          </w:tcPr>
          <w:p w14:paraId="1A57DF0E" w14:textId="77777777" w:rsidR="00161CC3" w:rsidRDefault="00000000">
            <w:pPr>
              <w:keepNext/>
              <w:keepLines/>
              <w:spacing w:after="0" w:line="240" w:lineRule="auto"/>
              <w:jc w:val="right"/>
            </w:pPr>
            <w:r>
              <w:rPr>
                <w:sz w:val="18"/>
              </w:rPr>
              <w:t>31.774.434,00</w:t>
            </w:r>
          </w:p>
        </w:tc>
        <w:tc>
          <w:tcPr>
            <w:tcW w:w="1860" w:type="dxa"/>
            <w:tcMar>
              <w:top w:w="0" w:type="dxa"/>
              <w:bottom w:w="0" w:type="dxa"/>
            </w:tcMar>
            <w:vAlign w:val="center"/>
          </w:tcPr>
          <w:p w14:paraId="3814D2B6" w14:textId="77777777" w:rsidR="00161CC3" w:rsidRDefault="00000000">
            <w:pPr>
              <w:keepNext/>
              <w:keepLines/>
              <w:spacing w:after="0" w:line="240" w:lineRule="auto"/>
              <w:jc w:val="right"/>
            </w:pPr>
            <w:r>
              <w:rPr>
                <w:sz w:val="18"/>
              </w:rPr>
              <w:t>33.125.429,16</w:t>
            </w:r>
          </w:p>
        </w:tc>
        <w:tc>
          <w:tcPr>
            <w:tcW w:w="700" w:type="dxa"/>
            <w:tcMar>
              <w:top w:w="0" w:type="dxa"/>
              <w:bottom w:w="0" w:type="dxa"/>
            </w:tcMar>
            <w:vAlign w:val="center"/>
          </w:tcPr>
          <w:p w14:paraId="11E4538E" w14:textId="77777777" w:rsidR="00161CC3" w:rsidRDefault="00000000">
            <w:pPr>
              <w:keepNext/>
              <w:keepLines/>
              <w:spacing w:after="0" w:line="240" w:lineRule="auto"/>
              <w:jc w:val="right"/>
            </w:pPr>
            <w:r>
              <w:rPr>
                <w:sz w:val="18"/>
              </w:rPr>
              <w:t>104,3</w:t>
            </w:r>
          </w:p>
        </w:tc>
      </w:tr>
    </w:tbl>
    <w:p w14:paraId="0EF2F1EF" w14:textId="77777777" w:rsidR="00161CC3" w:rsidRDefault="00161CC3">
      <w:pPr>
        <w:spacing w:after="0"/>
      </w:pPr>
    </w:p>
    <w:p w14:paraId="193808E9" w14:textId="77777777" w:rsidR="00161CC3" w:rsidRDefault="00000000">
      <w:r>
        <w:t xml:space="preserve">Povećanje u odnosu na prethodnu godinu u iznosu od 2.480.950,12 eura najvećim se dijelom  odnosi na prijenos u upotrebu izgradnje zgrade Dječjeg vrtića Vinež u iznosu od 2.079.832,98 eura, radovi na sanaciji preslice na crkvi Gospe od Karmela u iznosu od 21.037,50 eura, izgradnje prometnice i parkinga uz sportski kompleks na </w:t>
      </w:r>
      <w:proofErr w:type="spellStart"/>
      <w:r>
        <w:t>Vinežu</w:t>
      </w:r>
      <w:proofErr w:type="spellEnd"/>
      <w:r>
        <w:t xml:space="preserve"> u iznosu od 324.577,29 eura, izrada vrata na stadionu u iznosu od 12.362,50 eura te  rekonstrukcija centralnog dvorišta dječjeg vrtića u iznosu od 43.139,85 eura. </w:t>
      </w:r>
    </w:p>
    <w:p w14:paraId="15BA9722" w14:textId="77777777" w:rsidR="00161CC3" w:rsidRDefault="00161CC3"/>
    <w:p w14:paraId="3244A794" w14:textId="77777777" w:rsidR="00161CC3"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75AA0A0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DDA366"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7D2303B"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913FC6"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483778" w14:textId="77777777" w:rsidR="00161CC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D84B455" w14:textId="77777777" w:rsidR="00161CC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707147E" w14:textId="77777777" w:rsidR="00161CC3" w:rsidRDefault="00000000">
            <w:pPr>
              <w:keepNext/>
              <w:keepLines/>
              <w:spacing w:after="0" w:line="240" w:lineRule="auto"/>
              <w:jc w:val="center"/>
            </w:pPr>
            <w:r>
              <w:rPr>
                <w:b/>
                <w:sz w:val="18"/>
              </w:rPr>
              <w:t>Indeks (%)</w:t>
            </w:r>
          </w:p>
        </w:tc>
      </w:tr>
      <w:tr w:rsidR="00161CC3" w14:paraId="742CBF80" w14:textId="77777777">
        <w:tblPrEx>
          <w:tblCellMar>
            <w:top w:w="0" w:type="dxa"/>
            <w:bottom w:w="0" w:type="dxa"/>
          </w:tblCellMar>
        </w:tblPrEx>
        <w:trPr>
          <w:cantSplit/>
          <w:trHeight w:val="560"/>
        </w:trPr>
        <w:tc>
          <w:tcPr>
            <w:tcW w:w="700" w:type="dxa"/>
            <w:tcMar>
              <w:top w:w="0" w:type="dxa"/>
              <w:bottom w:w="0" w:type="dxa"/>
            </w:tcMar>
            <w:vAlign w:val="center"/>
          </w:tcPr>
          <w:p w14:paraId="174F89BC" w14:textId="77777777" w:rsidR="00161CC3" w:rsidRDefault="00000000">
            <w:pPr>
              <w:keepNext/>
              <w:keepLines/>
              <w:spacing w:after="0" w:line="240" w:lineRule="auto"/>
            </w:pPr>
            <w:r>
              <w:rPr>
                <w:sz w:val="18"/>
              </w:rPr>
              <w:t>022 i 02922</w:t>
            </w:r>
          </w:p>
        </w:tc>
        <w:tc>
          <w:tcPr>
            <w:tcW w:w="3180" w:type="dxa"/>
            <w:tcMar>
              <w:top w:w="0" w:type="dxa"/>
              <w:bottom w:w="0" w:type="dxa"/>
            </w:tcMar>
            <w:vAlign w:val="center"/>
          </w:tcPr>
          <w:p w14:paraId="6163A705" w14:textId="77777777" w:rsidR="00161CC3" w:rsidRDefault="00000000">
            <w:pPr>
              <w:keepNext/>
              <w:keepLines/>
              <w:spacing w:after="0" w:line="240" w:lineRule="auto"/>
            </w:pPr>
            <w:r>
              <w:rPr>
                <w:sz w:val="18"/>
              </w:rPr>
              <w:t>Postrojenja i oprema (šifre 0221 do 0228 - 02922)</w:t>
            </w:r>
          </w:p>
        </w:tc>
        <w:tc>
          <w:tcPr>
            <w:tcW w:w="700" w:type="dxa"/>
            <w:tcMar>
              <w:top w:w="0" w:type="dxa"/>
              <w:bottom w:w="0" w:type="dxa"/>
            </w:tcMar>
            <w:vAlign w:val="center"/>
          </w:tcPr>
          <w:p w14:paraId="470B4DB9" w14:textId="77777777" w:rsidR="00161CC3" w:rsidRDefault="00000000">
            <w:pPr>
              <w:keepNext/>
              <w:keepLines/>
              <w:spacing w:after="0" w:line="240" w:lineRule="auto"/>
            </w:pPr>
            <w:r>
              <w:rPr>
                <w:sz w:val="18"/>
              </w:rPr>
              <w:t>022 i 02922</w:t>
            </w:r>
          </w:p>
        </w:tc>
        <w:tc>
          <w:tcPr>
            <w:tcW w:w="1860" w:type="dxa"/>
            <w:tcMar>
              <w:top w:w="0" w:type="dxa"/>
              <w:bottom w:w="0" w:type="dxa"/>
            </w:tcMar>
            <w:vAlign w:val="center"/>
          </w:tcPr>
          <w:p w14:paraId="17B1830F" w14:textId="77777777" w:rsidR="00161CC3" w:rsidRDefault="00000000">
            <w:pPr>
              <w:keepNext/>
              <w:keepLines/>
              <w:spacing w:after="0" w:line="240" w:lineRule="auto"/>
              <w:jc w:val="right"/>
            </w:pPr>
            <w:r>
              <w:rPr>
                <w:sz w:val="18"/>
              </w:rPr>
              <w:t>567.073,75</w:t>
            </w:r>
          </w:p>
        </w:tc>
        <w:tc>
          <w:tcPr>
            <w:tcW w:w="1860" w:type="dxa"/>
            <w:tcMar>
              <w:top w:w="0" w:type="dxa"/>
              <w:bottom w:w="0" w:type="dxa"/>
            </w:tcMar>
            <w:vAlign w:val="center"/>
          </w:tcPr>
          <w:p w14:paraId="0FFD898E" w14:textId="77777777" w:rsidR="00161CC3" w:rsidRDefault="00000000">
            <w:pPr>
              <w:keepNext/>
              <w:keepLines/>
              <w:spacing w:after="0" w:line="240" w:lineRule="auto"/>
              <w:jc w:val="right"/>
            </w:pPr>
            <w:r>
              <w:rPr>
                <w:sz w:val="18"/>
              </w:rPr>
              <w:t>658.229,80</w:t>
            </w:r>
          </w:p>
        </w:tc>
        <w:tc>
          <w:tcPr>
            <w:tcW w:w="700" w:type="dxa"/>
            <w:tcMar>
              <w:top w:w="0" w:type="dxa"/>
              <w:bottom w:w="0" w:type="dxa"/>
            </w:tcMar>
            <w:vAlign w:val="center"/>
          </w:tcPr>
          <w:p w14:paraId="0C92BB6B" w14:textId="77777777" w:rsidR="00161CC3" w:rsidRDefault="00000000">
            <w:pPr>
              <w:keepNext/>
              <w:keepLines/>
              <w:spacing w:after="0" w:line="240" w:lineRule="auto"/>
              <w:jc w:val="right"/>
            </w:pPr>
            <w:r>
              <w:rPr>
                <w:sz w:val="18"/>
              </w:rPr>
              <w:t>116,1</w:t>
            </w:r>
          </w:p>
        </w:tc>
      </w:tr>
    </w:tbl>
    <w:p w14:paraId="73BB8436" w14:textId="77777777" w:rsidR="00161CC3" w:rsidRDefault="00161CC3">
      <w:pPr>
        <w:spacing w:after="0"/>
      </w:pPr>
    </w:p>
    <w:p w14:paraId="7BCC0F6A" w14:textId="77777777" w:rsidR="00161CC3" w:rsidRDefault="00000000">
      <w:r>
        <w:t xml:space="preserve">Povećanje se najvećim dijelom odnosi na nabavu računalne opreme za djelatnike gradske uprave u iznosu od 25.729,15 eura, uredskog namještaja u iznosu od 1.984,30 eura, mobilnih </w:t>
      </w:r>
      <w:r>
        <w:lastRenderedPageBreak/>
        <w:t>uređaja u iznosu od 1.000,00 eura, opreme za održavanje i zaštitu u iznosu od 9.620,44 eura i opreme za novi dječji vrtić u iznosu od 221.837,69 eura.</w:t>
      </w:r>
    </w:p>
    <w:p w14:paraId="5E7842D4" w14:textId="77777777" w:rsidR="00161CC3" w:rsidRDefault="00000000">
      <w:r>
        <w:t> </w:t>
      </w:r>
    </w:p>
    <w:p w14:paraId="46A89974" w14:textId="77777777" w:rsidR="00161CC3" w:rsidRDefault="00161CC3"/>
    <w:p w14:paraId="4D13DA32" w14:textId="77777777" w:rsidR="00161CC3" w:rsidRDefault="00000000">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67A2B05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A68EF4"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C6D180"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5FF171"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BE6300" w14:textId="77777777" w:rsidR="00161CC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4E8E704" w14:textId="77777777" w:rsidR="00161CC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5F37380" w14:textId="77777777" w:rsidR="00161CC3" w:rsidRDefault="00000000">
            <w:pPr>
              <w:keepNext/>
              <w:keepLines/>
              <w:spacing w:after="0" w:line="240" w:lineRule="auto"/>
              <w:jc w:val="center"/>
            </w:pPr>
            <w:r>
              <w:rPr>
                <w:b/>
                <w:sz w:val="18"/>
              </w:rPr>
              <w:t>Indeks (%)</w:t>
            </w:r>
          </w:p>
        </w:tc>
      </w:tr>
      <w:tr w:rsidR="00161CC3" w14:paraId="560602C8" w14:textId="77777777">
        <w:tblPrEx>
          <w:tblCellMar>
            <w:top w:w="0" w:type="dxa"/>
            <w:bottom w:w="0" w:type="dxa"/>
          </w:tblCellMar>
        </w:tblPrEx>
        <w:trPr>
          <w:cantSplit/>
          <w:trHeight w:val="560"/>
        </w:trPr>
        <w:tc>
          <w:tcPr>
            <w:tcW w:w="700" w:type="dxa"/>
            <w:tcMar>
              <w:top w:w="0" w:type="dxa"/>
              <w:bottom w:w="0" w:type="dxa"/>
            </w:tcMar>
            <w:vAlign w:val="center"/>
          </w:tcPr>
          <w:p w14:paraId="675303D1" w14:textId="77777777" w:rsidR="00161CC3" w:rsidRDefault="00000000">
            <w:pPr>
              <w:keepNext/>
              <w:keepLines/>
              <w:spacing w:after="0" w:line="240" w:lineRule="auto"/>
            </w:pPr>
            <w:r>
              <w:rPr>
                <w:sz w:val="18"/>
              </w:rPr>
              <w:t>042</w:t>
            </w:r>
          </w:p>
        </w:tc>
        <w:tc>
          <w:tcPr>
            <w:tcW w:w="3180" w:type="dxa"/>
            <w:tcMar>
              <w:top w:w="0" w:type="dxa"/>
              <w:bottom w:w="0" w:type="dxa"/>
            </w:tcMar>
            <w:vAlign w:val="center"/>
          </w:tcPr>
          <w:p w14:paraId="76C65472" w14:textId="77777777" w:rsidR="00161CC3" w:rsidRDefault="00000000">
            <w:pPr>
              <w:keepNext/>
              <w:keepLines/>
              <w:spacing w:after="0" w:line="240" w:lineRule="auto"/>
            </w:pPr>
            <w:r>
              <w:rPr>
                <w:sz w:val="18"/>
              </w:rPr>
              <w:t xml:space="preserve">Sitni inventar i </w:t>
            </w:r>
            <w:proofErr w:type="spellStart"/>
            <w:r>
              <w:rPr>
                <w:sz w:val="18"/>
              </w:rPr>
              <w:t>autogume</w:t>
            </w:r>
            <w:proofErr w:type="spellEnd"/>
            <w:r>
              <w:rPr>
                <w:sz w:val="18"/>
              </w:rPr>
              <w:t xml:space="preserve"> u upotrebi</w:t>
            </w:r>
          </w:p>
        </w:tc>
        <w:tc>
          <w:tcPr>
            <w:tcW w:w="700" w:type="dxa"/>
            <w:tcMar>
              <w:top w:w="0" w:type="dxa"/>
              <w:bottom w:w="0" w:type="dxa"/>
            </w:tcMar>
            <w:vAlign w:val="center"/>
          </w:tcPr>
          <w:p w14:paraId="31A28C5B" w14:textId="77777777" w:rsidR="00161CC3" w:rsidRDefault="00000000">
            <w:pPr>
              <w:keepNext/>
              <w:keepLines/>
              <w:spacing w:after="0" w:line="240" w:lineRule="auto"/>
            </w:pPr>
            <w:r>
              <w:rPr>
                <w:sz w:val="18"/>
              </w:rPr>
              <w:t>042</w:t>
            </w:r>
          </w:p>
        </w:tc>
        <w:tc>
          <w:tcPr>
            <w:tcW w:w="1860" w:type="dxa"/>
            <w:tcMar>
              <w:top w:w="0" w:type="dxa"/>
              <w:bottom w:w="0" w:type="dxa"/>
            </w:tcMar>
            <w:vAlign w:val="center"/>
          </w:tcPr>
          <w:p w14:paraId="43EF4B1C" w14:textId="77777777" w:rsidR="00161CC3" w:rsidRDefault="00000000">
            <w:pPr>
              <w:keepNext/>
              <w:keepLines/>
              <w:spacing w:after="0" w:line="240" w:lineRule="auto"/>
              <w:jc w:val="right"/>
            </w:pPr>
            <w:r>
              <w:rPr>
                <w:sz w:val="18"/>
              </w:rPr>
              <w:t>37.221,66</w:t>
            </w:r>
          </w:p>
        </w:tc>
        <w:tc>
          <w:tcPr>
            <w:tcW w:w="1860" w:type="dxa"/>
            <w:tcMar>
              <w:top w:w="0" w:type="dxa"/>
              <w:bottom w:w="0" w:type="dxa"/>
            </w:tcMar>
            <w:vAlign w:val="center"/>
          </w:tcPr>
          <w:p w14:paraId="4E215906" w14:textId="77777777" w:rsidR="00161CC3" w:rsidRDefault="00000000">
            <w:pPr>
              <w:keepNext/>
              <w:keepLines/>
              <w:spacing w:after="0" w:line="240" w:lineRule="auto"/>
              <w:jc w:val="right"/>
            </w:pPr>
            <w:r>
              <w:rPr>
                <w:sz w:val="18"/>
              </w:rPr>
              <w:t>52.010,10</w:t>
            </w:r>
          </w:p>
        </w:tc>
        <w:tc>
          <w:tcPr>
            <w:tcW w:w="700" w:type="dxa"/>
            <w:tcMar>
              <w:top w:w="0" w:type="dxa"/>
              <w:bottom w:w="0" w:type="dxa"/>
            </w:tcMar>
            <w:vAlign w:val="center"/>
          </w:tcPr>
          <w:p w14:paraId="70610B93" w14:textId="77777777" w:rsidR="00161CC3" w:rsidRDefault="00000000">
            <w:pPr>
              <w:keepNext/>
              <w:keepLines/>
              <w:spacing w:after="0" w:line="240" w:lineRule="auto"/>
              <w:jc w:val="right"/>
            </w:pPr>
            <w:r>
              <w:rPr>
                <w:sz w:val="18"/>
              </w:rPr>
              <w:t>139,7</w:t>
            </w:r>
          </w:p>
        </w:tc>
      </w:tr>
    </w:tbl>
    <w:p w14:paraId="3FA5A094" w14:textId="77777777" w:rsidR="00161CC3" w:rsidRDefault="00161CC3">
      <w:pPr>
        <w:spacing w:after="0"/>
      </w:pPr>
    </w:p>
    <w:p w14:paraId="500E1326" w14:textId="77777777" w:rsidR="00161CC3" w:rsidRDefault="00000000">
      <w:r>
        <w:t>Povećanje u iznosu od 14.788,44 eura najvećim se dijelom odnosi na kupnju zastava za potrebe gradske uprave i  na opremu za novi dječji vrtić.</w:t>
      </w:r>
    </w:p>
    <w:p w14:paraId="47017A49" w14:textId="77777777" w:rsidR="00161CC3" w:rsidRDefault="00161CC3"/>
    <w:p w14:paraId="1EBD286D" w14:textId="77777777" w:rsidR="00161CC3" w:rsidRDefault="0000000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5A0FA59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C49245"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52C5581"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D91A0A"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C8EC37" w14:textId="77777777" w:rsidR="00161CC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E1ADA1D" w14:textId="77777777" w:rsidR="00161CC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72E6619" w14:textId="77777777" w:rsidR="00161CC3" w:rsidRDefault="00000000">
            <w:pPr>
              <w:keepNext/>
              <w:keepLines/>
              <w:spacing w:after="0" w:line="240" w:lineRule="auto"/>
              <w:jc w:val="center"/>
            </w:pPr>
            <w:r>
              <w:rPr>
                <w:b/>
                <w:sz w:val="18"/>
              </w:rPr>
              <w:t>Indeks (%)</w:t>
            </w:r>
          </w:p>
        </w:tc>
      </w:tr>
      <w:tr w:rsidR="00161CC3" w14:paraId="133FEA4D" w14:textId="77777777">
        <w:tblPrEx>
          <w:tblCellMar>
            <w:top w:w="0" w:type="dxa"/>
            <w:bottom w:w="0" w:type="dxa"/>
          </w:tblCellMar>
        </w:tblPrEx>
        <w:trPr>
          <w:cantSplit/>
          <w:trHeight w:val="560"/>
        </w:trPr>
        <w:tc>
          <w:tcPr>
            <w:tcW w:w="700" w:type="dxa"/>
            <w:tcMar>
              <w:top w:w="0" w:type="dxa"/>
              <w:bottom w:w="0" w:type="dxa"/>
            </w:tcMar>
            <w:vAlign w:val="center"/>
          </w:tcPr>
          <w:p w14:paraId="254FBFBC" w14:textId="77777777" w:rsidR="00161CC3" w:rsidRDefault="00000000">
            <w:pPr>
              <w:keepNext/>
              <w:keepLines/>
              <w:spacing w:after="0" w:line="240" w:lineRule="auto"/>
            </w:pPr>
            <w:r>
              <w:rPr>
                <w:sz w:val="18"/>
              </w:rPr>
              <w:t>055</w:t>
            </w:r>
          </w:p>
        </w:tc>
        <w:tc>
          <w:tcPr>
            <w:tcW w:w="3180" w:type="dxa"/>
            <w:tcMar>
              <w:top w:w="0" w:type="dxa"/>
              <w:bottom w:w="0" w:type="dxa"/>
            </w:tcMar>
            <w:vAlign w:val="center"/>
          </w:tcPr>
          <w:p w14:paraId="7F7B6623" w14:textId="77777777" w:rsidR="00161CC3" w:rsidRDefault="00000000">
            <w:pPr>
              <w:keepNext/>
              <w:keepLines/>
              <w:spacing w:after="0" w:line="240" w:lineRule="auto"/>
            </w:pPr>
            <w:r>
              <w:rPr>
                <w:sz w:val="18"/>
              </w:rPr>
              <w:t>Ostala nematerijalna proizvedena imovina u pripremi</w:t>
            </w:r>
          </w:p>
        </w:tc>
        <w:tc>
          <w:tcPr>
            <w:tcW w:w="700" w:type="dxa"/>
            <w:tcMar>
              <w:top w:w="0" w:type="dxa"/>
              <w:bottom w:w="0" w:type="dxa"/>
            </w:tcMar>
            <w:vAlign w:val="center"/>
          </w:tcPr>
          <w:p w14:paraId="3C0A3A8F" w14:textId="77777777" w:rsidR="00161CC3" w:rsidRDefault="00000000">
            <w:pPr>
              <w:keepNext/>
              <w:keepLines/>
              <w:spacing w:after="0" w:line="240" w:lineRule="auto"/>
            </w:pPr>
            <w:r>
              <w:rPr>
                <w:sz w:val="18"/>
              </w:rPr>
              <w:t>055</w:t>
            </w:r>
          </w:p>
        </w:tc>
        <w:tc>
          <w:tcPr>
            <w:tcW w:w="1860" w:type="dxa"/>
            <w:tcMar>
              <w:top w:w="0" w:type="dxa"/>
              <w:bottom w:w="0" w:type="dxa"/>
            </w:tcMar>
            <w:vAlign w:val="center"/>
          </w:tcPr>
          <w:p w14:paraId="6F7564E0" w14:textId="77777777" w:rsidR="00161CC3" w:rsidRDefault="00000000">
            <w:pPr>
              <w:keepNext/>
              <w:keepLines/>
              <w:spacing w:after="0" w:line="240" w:lineRule="auto"/>
              <w:jc w:val="right"/>
            </w:pPr>
            <w:r>
              <w:rPr>
                <w:sz w:val="18"/>
              </w:rPr>
              <w:t>632.342,78</w:t>
            </w:r>
          </w:p>
        </w:tc>
        <w:tc>
          <w:tcPr>
            <w:tcW w:w="1860" w:type="dxa"/>
            <w:tcMar>
              <w:top w:w="0" w:type="dxa"/>
              <w:bottom w:w="0" w:type="dxa"/>
            </w:tcMar>
            <w:vAlign w:val="center"/>
          </w:tcPr>
          <w:p w14:paraId="05ABD8EB" w14:textId="77777777" w:rsidR="00161CC3" w:rsidRDefault="00000000">
            <w:pPr>
              <w:keepNext/>
              <w:keepLines/>
              <w:spacing w:after="0" w:line="240" w:lineRule="auto"/>
              <w:jc w:val="right"/>
            </w:pPr>
            <w:r>
              <w:rPr>
                <w:sz w:val="18"/>
              </w:rPr>
              <w:t>920.697,24</w:t>
            </w:r>
          </w:p>
        </w:tc>
        <w:tc>
          <w:tcPr>
            <w:tcW w:w="700" w:type="dxa"/>
            <w:tcMar>
              <w:top w:w="0" w:type="dxa"/>
              <w:bottom w:w="0" w:type="dxa"/>
            </w:tcMar>
            <w:vAlign w:val="center"/>
          </w:tcPr>
          <w:p w14:paraId="2CAD6672" w14:textId="77777777" w:rsidR="00161CC3" w:rsidRDefault="00000000">
            <w:pPr>
              <w:keepNext/>
              <w:keepLines/>
              <w:spacing w:after="0" w:line="240" w:lineRule="auto"/>
              <w:jc w:val="right"/>
            </w:pPr>
            <w:r>
              <w:rPr>
                <w:sz w:val="18"/>
              </w:rPr>
              <w:t>145,6</w:t>
            </w:r>
          </w:p>
        </w:tc>
      </w:tr>
    </w:tbl>
    <w:p w14:paraId="160C3902" w14:textId="77777777" w:rsidR="00161CC3" w:rsidRDefault="00161CC3">
      <w:pPr>
        <w:spacing w:after="0"/>
      </w:pPr>
    </w:p>
    <w:p w14:paraId="6DF3BB92" w14:textId="77777777" w:rsidR="00161CC3" w:rsidRDefault="00000000">
      <w:r>
        <w:t>Vrijednost ove vrste imovine bilježi povećanje zbog stavljanja u upotrebu slijedećih investicija:</w:t>
      </w:r>
    </w:p>
    <w:p w14:paraId="3A6FB292" w14:textId="77777777" w:rsidR="00161CC3" w:rsidRDefault="00000000">
      <w:r>
        <w:t>izgradnja Dječjeg vrtića Vinež i izgradnja prometnice uz sportski kompleks Vinež.</w:t>
      </w:r>
    </w:p>
    <w:p w14:paraId="6A225F7B" w14:textId="77777777" w:rsidR="00161CC3" w:rsidRDefault="00000000">
      <w:r>
        <w:t> </w:t>
      </w:r>
    </w:p>
    <w:p w14:paraId="43B5E6B9" w14:textId="77777777" w:rsidR="00161CC3" w:rsidRDefault="00161CC3"/>
    <w:p w14:paraId="34611668" w14:textId="77777777" w:rsidR="00161CC3" w:rsidRDefault="00000000">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6E68AC4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A56D66"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629ED2"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73C40B"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34A71A" w14:textId="77777777" w:rsidR="00161CC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8FB4067" w14:textId="77777777" w:rsidR="00161CC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9E26C7C" w14:textId="77777777" w:rsidR="00161CC3" w:rsidRDefault="00000000">
            <w:pPr>
              <w:keepNext/>
              <w:keepLines/>
              <w:spacing w:after="0" w:line="240" w:lineRule="auto"/>
              <w:jc w:val="center"/>
            </w:pPr>
            <w:r>
              <w:rPr>
                <w:b/>
                <w:sz w:val="18"/>
              </w:rPr>
              <w:t>Indeks (%)</w:t>
            </w:r>
          </w:p>
        </w:tc>
      </w:tr>
      <w:tr w:rsidR="00161CC3" w14:paraId="4A98C15D" w14:textId="77777777">
        <w:tblPrEx>
          <w:tblCellMar>
            <w:top w:w="0" w:type="dxa"/>
            <w:bottom w:w="0" w:type="dxa"/>
          </w:tblCellMar>
        </w:tblPrEx>
        <w:trPr>
          <w:cantSplit/>
          <w:trHeight w:val="560"/>
        </w:trPr>
        <w:tc>
          <w:tcPr>
            <w:tcW w:w="700" w:type="dxa"/>
            <w:tcMar>
              <w:top w:w="0" w:type="dxa"/>
              <w:bottom w:w="0" w:type="dxa"/>
            </w:tcMar>
            <w:vAlign w:val="center"/>
          </w:tcPr>
          <w:p w14:paraId="40A735AE" w14:textId="77777777" w:rsidR="00161CC3" w:rsidRDefault="00000000">
            <w:pPr>
              <w:keepNext/>
              <w:keepLines/>
              <w:spacing w:after="0" w:line="240" w:lineRule="auto"/>
            </w:pPr>
            <w:r>
              <w:rPr>
                <w:sz w:val="18"/>
              </w:rPr>
              <w:t>16</w:t>
            </w:r>
          </w:p>
        </w:tc>
        <w:tc>
          <w:tcPr>
            <w:tcW w:w="3180" w:type="dxa"/>
            <w:tcMar>
              <w:top w:w="0" w:type="dxa"/>
              <w:bottom w:w="0" w:type="dxa"/>
            </w:tcMar>
            <w:vAlign w:val="center"/>
          </w:tcPr>
          <w:p w14:paraId="69C32C19" w14:textId="77777777" w:rsidR="00161CC3" w:rsidRDefault="00000000">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7F7FBDC1" w14:textId="77777777" w:rsidR="00161CC3" w:rsidRDefault="00000000">
            <w:pPr>
              <w:keepNext/>
              <w:keepLines/>
              <w:spacing w:after="0" w:line="240" w:lineRule="auto"/>
            </w:pPr>
            <w:r>
              <w:rPr>
                <w:sz w:val="18"/>
              </w:rPr>
              <w:t>16</w:t>
            </w:r>
          </w:p>
        </w:tc>
        <w:tc>
          <w:tcPr>
            <w:tcW w:w="1860" w:type="dxa"/>
            <w:tcMar>
              <w:top w:w="0" w:type="dxa"/>
              <w:bottom w:w="0" w:type="dxa"/>
            </w:tcMar>
            <w:vAlign w:val="center"/>
          </w:tcPr>
          <w:p w14:paraId="629F8CEC" w14:textId="77777777" w:rsidR="00161CC3" w:rsidRDefault="00000000">
            <w:pPr>
              <w:keepNext/>
              <w:keepLines/>
              <w:spacing w:after="0" w:line="240" w:lineRule="auto"/>
              <w:jc w:val="right"/>
            </w:pPr>
            <w:r>
              <w:rPr>
                <w:sz w:val="18"/>
              </w:rPr>
              <w:t>1.116.901,85</w:t>
            </w:r>
          </w:p>
        </w:tc>
        <w:tc>
          <w:tcPr>
            <w:tcW w:w="1860" w:type="dxa"/>
            <w:tcMar>
              <w:top w:w="0" w:type="dxa"/>
              <w:bottom w:w="0" w:type="dxa"/>
            </w:tcMar>
            <w:vAlign w:val="center"/>
          </w:tcPr>
          <w:p w14:paraId="1DEE24A9" w14:textId="77777777" w:rsidR="00161CC3" w:rsidRDefault="00000000">
            <w:pPr>
              <w:keepNext/>
              <w:keepLines/>
              <w:spacing w:after="0" w:line="240" w:lineRule="auto"/>
              <w:jc w:val="right"/>
            </w:pPr>
            <w:r>
              <w:rPr>
                <w:sz w:val="18"/>
              </w:rPr>
              <w:t>951.962,40</w:t>
            </w:r>
          </w:p>
        </w:tc>
        <w:tc>
          <w:tcPr>
            <w:tcW w:w="700" w:type="dxa"/>
            <w:tcMar>
              <w:top w:w="0" w:type="dxa"/>
              <w:bottom w:w="0" w:type="dxa"/>
            </w:tcMar>
            <w:vAlign w:val="center"/>
          </w:tcPr>
          <w:p w14:paraId="54012296" w14:textId="77777777" w:rsidR="00161CC3" w:rsidRDefault="00000000">
            <w:pPr>
              <w:keepNext/>
              <w:keepLines/>
              <w:spacing w:after="0" w:line="240" w:lineRule="auto"/>
              <w:jc w:val="right"/>
            </w:pPr>
            <w:r>
              <w:rPr>
                <w:sz w:val="18"/>
              </w:rPr>
              <w:t>85,2</w:t>
            </w:r>
          </w:p>
        </w:tc>
      </w:tr>
    </w:tbl>
    <w:p w14:paraId="613EE3B3" w14:textId="77777777" w:rsidR="00161CC3" w:rsidRDefault="00161CC3">
      <w:pPr>
        <w:spacing w:after="0"/>
      </w:pPr>
    </w:p>
    <w:p w14:paraId="44B23ED7" w14:textId="77777777" w:rsidR="00161CC3" w:rsidRDefault="00000000">
      <w:r>
        <w:t>Ukupna potraživanja su manja za 14,8%.</w:t>
      </w:r>
    </w:p>
    <w:p w14:paraId="05219EC4" w14:textId="77777777" w:rsidR="00161CC3" w:rsidRDefault="00000000">
      <w:r>
        <w:t> U ovoj skupini najveće smanjenje vidljivo je kod Stalnog poreza na nepokretnu imovinu i poreza na korištenje javnih površina, dok su potraživanja za Porez na promet nekretnina povećana. </w:t>
      </w:r>
    </w:p>
    <w:p w14:paraId="75D484D0" w14:textId="77777777" w:rsidR="00161CC3" w:rsidRDefault="00000000">
      <w:r>
        <w:t>I ostala potraživanja bilježe smanjenje, jer se poduzimaju mjere za što bržu i bolju naplatu svih prihoda.</w:t>
      </w:r>
    </w:p>
    <w:p w14:paraId="74F827EE" w14:textId="77777777" w:rsidR="00161CC3" w:rsidRDefault="00161CC3"/>
    <w:p w14:paraId="6F20C5C7" w14:textId="77777777" w:rsidR="00161CC3" w:rsidRDefault="0000000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315A437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5047EC"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DE4007A"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F316B1"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BA845A" w14:textId="77777777" w:rsidR="00161CC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4745ADE" w14:textId="77777777" w:rsidR="00161CC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ECEDF54" w14:textId="77777777" w:rsidR="00161CC3" w:rsidRDefault="00000000">
            <w:pPr>
              <w:keepNext/>
              <w:keepLines/>
              <w:spacing w:after="0" w:line="240" w:lineRule="auto"/>
              <w:jc w:val="center"/>
            </w:pPr>
            <w:r>
              <w:rPr>
                <w:b/>
                <w:sz w:val="18"/>
              </w:rPr>
              <w:t>Indeks (%)</w:t>
            </w:r>
          </w:p>
        </w:tc>
      </w:tr>
      <w:tr w:rsidR="00161CC3" w14:paraId="44E215F3" w14:textId="77777777">
        <w:tblPrEx>
          <w:tblCellMar>
            <w:top w:w="0" w:type="dxa"/>
            <w:bottom w:w="0" w:type="dxa"/>
          </w:tblCellMar>
        </w:tblPrEx>
        <w:trPr>
          <w:cantSplit/>
          <w:trHeight w:val="560"/>
        </w:trPr>
        <w:tc>
          <w:tcPr>
            <w:tcW w:w="700" w:type="dxa"/>
            <w:tcMar>
              <w:top w:w="0" w:type="dxa"/>
              <w:bottom w:w="0" w:type="dxa"/>
            </w:tcMar>
            <w:vAlign w:val="center"/>
          </w:tcPr>
          <w:p w14:paraId="6EDB6E5E" w14:textId="77777777" w:rsidR="00161CC3" w:rsidRDefault="00000000">
            <w:pPr>
              <w:keepNext/>
              <w:keepLines/>
              <w:spacing w:after="0" w:line="240" w:lineRule="auto"/>
            </w:pPr>
            <w:r>
              <w:rPr>
                <w:sz w:val="18"/>
              </w:rPr>
              <w:t>17</w:t>
            </w:r>
          </w:p>
        </w:tc>
        <w:tc>
          <w:tcPr>
            <w:tcW w:w="3180" w:type="dxa"/>
            <w:tcMar>
              <w:top w:w="0" w:type="dxa"/>
              <w:bottom w:w="0" w:type="dxa"/>
            </w:tcMar>
            <w:vAlign w:val="center"/>
          </w:tcPr>
          <w:p w14:paraId="7325FE30" w14:textId="77777777" w:rsidR="00161CC3" w:rsidRDefault="00000000">
            <w:pPr>
              <w:keepNext/>
              <w:keepLines/>
              <w:spacing w:after="0" w:line="240" w:lineRule="auto"/>
            </w:pPr>
            <w:r>
              <w:rPr>
                <w:sz w:val="18"/>
              </w:rPr>
              <w:t>Potraživanja od prodaje nefinancijske imovine (šifre 171 do 174 - 179)</w:t>
            </w:r>
          </w:p>
        </w:tc>
        <w:tc>
          <w:tcPr>
            <w:tcW w:w="700" w:type="dxa"/>
            <w:tcMar>
              <w:top w:w="0" w:type="dxa"/>
              <w:bottom w:w="0" w:type="dxa"/>
            </w:tcMar>
            <w:vAlign w:val="center"/>
          </w:tcPr>
          <w:p w14:paraId="139562F6" w14:textId="77777777" w:rsidR="00161CC3" w:rsidRDefault="00000000">
            <w:pPr>
              <w:keepNext/>
              <w:keepLines/>
              <w:spacing w:after="0" w:line="240" w:lineRule="auto"/>
            </w:pPr>
            <w:r>
              <w:rPr>
                <w:sz w:val="18"/>
              </w:rPr>
              <w:t>17</w:t>
            </w:r>
          </w:p>
        </w:tc>
        <w:tc>
          <w:tcPr>
            <w:tcW w:w="1860" w:type="dxa"/>
            <w:tcMar>
              <w:top w:w="0" w:type="dxa"/>
              <w:bottom w:w="0" w:type="dxa"/>
            </w:tcMar>
            <w:vAlign w:val="center"/>
          </w:tcPr>
          <w:p w14:paraId="65024404" w14:textId="77777777" w:rsidR="00161CC3" w:rsidRDefault="00000000">
            <w:pPr>
              <w:keepNext/>
              <w:keepLines/>
              <w:spacing w:after="0" w:line="240" w:lineRule="auto"/>
              <w:jc w:val="right"/>
            </w:pPr>
            <w:r>
              <w:rPr>
                <w:sz w:val="18"/>
              </w:rPr>
              <w:t>42.678,67</w:t>
            </w:r>
          </w:p>
        </w:tc>
        <w:tc>
          <w:tcPr>
            <w:tcW w:w="1860" w:type="dxa"/>
            <w:tcMar>
              <w:top w:w="0" w:type="dxa"/>
              <w:bottom w:w="0" w:type="dxa"/>
            </w:tcMar>
            <w:vAlign w:val="center"/>
          </w:tcPr>
          <w:p w14:paraId="22F846B0" w14:textId="77777777" w:rsidR="00161CC3" w:rsidRDefault="00000000">
            <w:pPr>
              <w:keepNext/>
              <w:keepLines/>
              <w:spacing w:after="0" w:line="240" w:lineRule="auto"/>
              <w:jc w:val="right"/>
            </w:pPr>
            <w:r>
              <w:rPr>
                <w:sz w:val="18"/>
              </w:rPr>
              <w:t>25.200,03</w:t>
            </w:r>
          </w:p>
        </w:tc>
        <w:tc>
          <w:tcPr>
            <w:tcW w:w="700" w:type="dxa"/>
            <w:tcMar>
              <w:top w:w="0" w:type="dxa"/>
              <w:bottom w:w="0" w:type="dxa"/>
            </w:tcMar>
            <w:vAlign w:val="center"/>
          </w:tcPr>
          <w:p w14:paraId="29BCA3BB" w14:textId="77777777" w:rsidR="00161CC3" w:rsidRDefault="00000000">
            <w:pPr>
              <w:keepNext/>
              <w:keepLines/>
              <w:spacing w:after="0" w:line="240" w:lineRule="auto"/>
              <w:jc w:val="right"/>
            </w:pPr>
            <w:r>
              <w:rPr>
                <w:sz w:val="18"/>
              </w:rPr>
              <w:t>59,0</w:t>
            </w:r>
          </w:p>
        </w:tc>
      </w:tr>
    </w:tbl>
    <w:p w14:paraId="3070DD06" w14:textId="77777777" w:rsidR="00161CC3" w:rsidRDefault="00161CC3">
      <w:pPr>
        <w:spacing w:after="0"/>
      </w:pPr>
    </w:p>
    <w:p w14:paraId="74DC0F89" w14:textId="77777777" w:rsidR="00161CC3" w:rsidRDefault="00000000">
      <w:r>
        <w:t>Smanjenje od 41% u odnosu na prethodnu godinu odnosi se na smanjenje dugoročnih potraživanja za otkup stanova na kojima postoji stanarsko pravo, a koji se otkupljuju na rok do 30 godina.</w:t>
      </w:r>
    </w:p>
    <w:p w14:paraId="394CEB3D" w14:textId="77777777" w:rsidR="00161CC3" w:rsidRDefault="00161CC3"/>
    <w:p w14:paraId="56E94F5C" w14:textId="77777777" w:rsidR="00161CC3" w:rsidRDefault="00000000">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21A2DE7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967235"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9A849C6"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2307B3"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EB1E8A" w14:textId="77777777" w:rsidR="00161CC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0FF7D08" w14:textId="77777777" w:rsidR="00161CC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46C8123" w14:textId="77777777" w:rsidR="00161CC3" w:rsidRDefault="00000000">
            <w:pPr>
              <w:keepNext/>
              <w:keepLines/>
              <w:spacing w:after="0" w:line="240" w:lineRule="auto"/>
              <w:jc w:val="center"/>
            </w:pPr>
            <w:r>
              <w:rPr>
                <w:b/>
                <w:sz w:val="18"/>
              </w:rPr>
              <w:t>Indeks (%)</w:t>
            </w:r>
          </w:p>
        </w:tc>
      </w:tr>
      <w:tr w:rsidR="00161CC3" w14:paraId="157AFE6A" w14:textId="77777777">
        <w:tblPrEx>
          <w:tblCellMar>
            <w:top w:w="0" w:type="dxa"/>
            <w:bottom w:w="0" w:type="dxa"/>
          </w:tblCellMar>
        </w:tblPrEx>
        <w:trPr>
          <w:cantSplit/>
          <w:trHeight w:val="560"/>
        </w:trPr>
        <w:tc>
          <w:tcPr>
            <w:tcW w:w="700" w:type="dxa"/>
            <w:tcMar>
              <w:top w:w="0" w:type="dxa"/>
              <w:bottom w:w="0" w:type="dxa"/>
            </w:tcMar>
            <w:vAlign w:val="center"/>
          </w:tcPr>
          <w:p w14:paraId="003DC218" w14:textId="77777777" w:rsidR="00161CC3" w:rsidRDefault="00000000">
            <w:pPr>
              <w:keepNext/>
              <w:keepLines/>
              <w:spacing w:after="0" w:line="240" w:lineRule="auto"/>
            </w:pPr>
            <w:r>
              <w:rPr>
                <w:sz w:val="18"/>
              </w:rPr>
              <w:t>19</w:t>
            </w:r>
          </w:p>
        </w:tc>
        <w:tc>
          <w:tcPr>
            <w:tcW w:w="3180" w:type="dxa"/>
            <w:tcMar>
              <w:top w:w="0" w:type="dxa"/>
              <w:bottom w:w="0" w:type="dxa"/>
            </w:tcMar>
            <w:vAlign w:val="center"/>
          </w:tcPr>
          <w:p w14:paraId="5C4BC90A" w14:textId="77777777" w:rsidR="00161CC3" w:rsidRDefault="00000000">
            <w:pPr>
              <w:keepNext/>
              <w:keepLines/>
              <w:spacing w:after="0" w:line="240" w:lineRule="auto"/>
            </w:pPr>
            <w:r>
              <w:rPr>
                <w:sz w:val="18"/>
              </w:rPr>
              <w:t>Rashodi budućih razdoblja i nedospjela naplata prihoda (aktivna vremenska razgraničenja) (šifre 191 do 193)</w:t>
            </w:r>
          </w:p>
        </w:tc>
        <w:tc>
          <w:tcPr>
            <w:tcW w:w="700" w:type="dxa"/>
            <w:tcMar>
              <w:top w:w="0" w:type="dxa"/>
              <w:bottom w:w="0" w:type="dxa"/>
            </w:tcMar>
            <w:vAlign w:val="center"/>
          </w:tcPr>
          <w:p w14:paraId="626C78EC" w14:textId="77777777" w:rsidR="00161CC3" w:rsidRDefault="00000000">
            <w:pPr>
              <w:keepNext/>
              <w:keepLines/>
              <w:spacing w:after="0" w:line="240" w:lineRule="auto"/>
            </w:pPr>
            <w:r>
              <w:rPr>
                <w:sz w:val="18"/>
              </w:rPr>
              <w:t>19</w:t>
            </w:r>
          </w:p>
        </w:tc>
        <w:tc>
          <w:tcPr>
            <w:tcW w:w="1860" w:type="dxa"/>
            <w:tcMar>
              <w:top w:w="0" w:type="dxa"/>
              <w:bottom w:w="0" w:type="dxa"/>
            </w:tcMar>
            <w:vAlign w:val="center"/>
          </w:tcPr>
          <w:p w14:paraId="7667DA5C" w14:textId="77777777" w:rsidR="00161CC3" w:rsidRDefault="00000000">
            <w:pPr>
              <w:keepNext/>
              <w:keepLines/>
              <w:spacing w:after="0" w:line="240" w:lineRule="auto"/>
              <w:jc w:val="right"/>
            </w:pPr>
            <w:r>
              <w:rPr>
                <w:sz w:val="18"/>
              </w:rPr>
              <w:t>4.554,05</w:t>
            </w:r>
          </w:p>
        </w:tc>
        <w:tc>
          <w:tcPr>
            <w:tcW w:w="1860" w:type="dxa"/>
            <w:tcMar>
              <w:top w:w="0" w:type="dxa"/>
              <w:bottom w:w="0" w:type="dxa"/>
            </w:tcMar>
            <w:vAlign w:val="center"/>
          </w:tcPr>
          <w:p w14:paraId="0930F974" w14:textId="77777777" w:rsidR="00161CC3" w:rsidRDefault="00000000">
            <w:pPr>
              <w:keepNext/>
              <w:keepLines/>
              <w:spacing w:after="0" w:line="240" w:lineRule="auto"/>
              <w:jc w:val="right"/>
            </w:pPr>
            <w:r>
              <w:rPr>
                <w:sz w:val="18"/>
              </w:rPr>
              <w:t>277,62</w:t>
            </w:r>
          </w:p>
        </w:tc>
        <w:tc>
          <w:tcPr>
            <w:tcW w:w="700" w:type="dxa"/>
            <w:tcMar>
              <w:top w:w="0" w:type="dxa"/>
              <w:bottom w:w="0" w:type="dxa"/>
            </w:tcMar>
            <w:vAlign w:val="center"/>
          </w:tcPr>
          <w:p w14:paraId="36DE9EB3" w14:textId="77777777" w:rsidR="00161CC3" w:rsidRDefault="00000000">
            <w:pPr>
              <w:keepNext/>
              <w:keepLines/>
              <w:spacing w:after="0" w:line="240" w:lineRule="auto"/>
              <w:jc w:val="right"/>
            </w:pPr>
            <w:r>
              <w:rPr>
                <w:sz w:val="18"/>
              </w:rPr>
              <w:t>6,1</w:t>
            </w:r>
          </w:p>
        </w:tc>
      </w:tr>
    </w:tbl>
    <w:p w14:paraId="2A7EE3A1" w14:textId="77777777" w:rsidR="00161CC3" w:rsidRDefault="00161CC3">
      <w:pPr>
        <w:spacing w:after="0"/>
      </w:pPr>
    </w:p>
    <w:tbl>
      <w:tblPr>
        <w:tblStyle w:val="Reetkatablice"/>
        <w:tblW w:w="3565" w:type="pct"/>
        <w:tblLook w:val="04A0" w:firstRow="1" w:lastRow="0" w:firstColumn="1" w:lastColumn="0" w:noHBand="0" w:noVBand="1"/>
      </w:tblPr>
      <w:tblGrid>
        <w:gridCol w:w="1292"/>
        <w:gridCol w:w="1292"/>
        <w:gridCol w:w="1292"/>
        <w:gridCol w:w="1292"/>
        <w:gridCol w:w="1293"/>
      </w:tblGrid>
      <w:tr w:rsidR="00161CC3" w14:paraId="0923D39D" w14:textId="77777777">
        <w:trPr>
          <w:trHeight w:val="585"/>
        </w:trPr>
        <w:tc>
          <w:tcPr>
            <w:tcW w:w="999" w:type="pct"/>
            <w:vAlign w:val="center"/>
          </w:tcPr>
          <w:p w14:paraId="60EF5707" w14:textId="77777777" w:rsidR="00161CC3" w:rsidRDefault="00000000">
            <w:r>
              <w:t>RAČUN</w:t>
            </w:r>
          </w:p>
        </w:tc>
        <w:tc>
          <w:tcPr>
            <w:tcW w:w="999" w:type="pct"/>
            <w:vAlign w:val="center"/>
          </w:tcPr>
          <w:p w14:paraId="58EA8294" w14:textId="77777777" w:rsidR="00161CC3" w:rsidRDefault="00000000">
            <w:r>
              <w:t>OPIS</w:t>
            </w:r>
          </w:p>
        </w:tc>
        <w:tc>
          <w:tcPr>
            <w:tcW w:w="999" w:type="pct"/>
            <w:vAlign w:val="center"/>
          </w:tcPr>
          <w:p w14:paraId="37A05C34" w14:textId="77777777" w:rsidR="00161CC3" w:rsidRDefault="00000000">
            <w:r>
              <w:t>01.01.25.</w:t>
            </w:r>
          </w:p>
        </w:tc>
        <w:tc>
          <w:tcPr>
            <w:tcW w:w="999" w:type="pct"/>
            <w:vAlign w:val="center"/>
          </w:tcPr>
          <w:p w14:paraId="1DFE1B12" w14:textId="77777777" w:rsidR="00161CC3" w:rsidRDefault="00000000">
            <w:r>
              <w:t>31.12.25.</w:t>
            </w:r>
          </w:p>
        </w:tc>
        <w:tc>
          <w:tcPr>
            <w:tcW w:w="1000" w:type="pct"/>
            <w:vAlign w:val="center"/>
          </w:tcPr>
          <w:p w14:paraId="386155C2" w14:textId="77777777" w:rsidR="00161CC3" w:rsidRDefault="00000000">
            <w:r>
              <w:t>INDEKS</w:t>
            </w:r>
          </w:p>
        </w:tc>
      </w:tr>
      <w:tr w:rsidR="00161CC3" w14:paraId="4107F221" w14:textId="77777777">
        <w:trPr>
          <w:trHeight w:val="600"/>
        </w:trPr>
        <w:tc>
          <w:tcPr>
            <w:tcW w:w="999" w:type="pct"/>
            <w:vAlign w:val="center"/>
          </w:tcPr>
          <w:p w14:paraId="3E79E33C" w14:textId="77777777" w:rsidR="00161CC3" w:rsidRDefault="00000000">
            <w:r>
              <w:t>19</w:t>
            </w:r>
          </w:p>
        </w:tc>
        <w:tc>
          <w:tcPr>
            <w:tcW w:w="999" w:type="pct"/>
            <w:vAlign w:val="center"/>
          </w:tcPr>
          <w:p w14:paraId="650F4D49" w14:textId="77777777" w:rsidR="00161CC3" w:rsidRDefault="00000000">
            <w:r>
              <w:t>Rashodi budućeg razdoblja i nedospjela naplata prihoda</w:t>
            </w:r>
          </w:p>
        </w:tc>
        <w:tc>
          <w:tcPr>
            <w:tcW w:w="999" w:type="pct"/>
            <w:vAlign w:val="center"/>
          </w:tcPr>
          <w:p w14:paraId="1714D738" w14:textId="77777777" w:rsidR="00161CC3" w:rsidRDefault="00000000">
            <w:r>
              <w:t>4.554,05</w:t>
            </w:r>
          </w:p>
        </w:tc>
        <w:tc>
          <w:tcPr>
            <w:tcW w:w="999" w:type="pct"/>
            <w:vAlign w:val="center"/>
          </w:tcPr>
          <w:p w14:paraId="15912FD3" w14:textId="77777777" w:rsidR="00161CC3" w:rsidRDefault="00000000">
            <w:r>
              <w:t>277,62</w:t>
            </w:r>
          </w:p>
        </w:tc>
        <w:tc>
          <w:tcPr>
            <w:tcW w:w="1000" w:type="pct"/>
            <w:vAlign w:val="center"/>
          </w:tcPr>
          <w:p w14:paraId="7DE47921" w14:textId="77777777" w:rsidR="00161CC3" w:rsidRDefault="00000000">
            <w:r>
              <w:t>112,8</w:t>
            </w:r>
          </w:p>
        </w:tc>
      </w:tr>
      <w:tr w:rsidR="00161CC3" w14:paraId="1427053B" w14:textId="77777777">
        <w:trPr>
          <w:trHeight w:val="542"/>
        </w:trPr>
        <w:tc>
          <w:tcPr>
            <w:tcW w:w="999" w:type="pct"/>
            <w:vAlign w:val="center"/>
          </w:tcPr>
          <w:p w14:paraId="68E0C1AA" w14:textId="77777777" w:rsidR="00161CC3" w:rsidRDefault="00000000">
            <w:r>
              <w:t>191</w:t>
            </w:r>
          </w:p>
        </w:tc>
        <w:tc>
          <w:tcPr>
            <w:tcW w:w="999" w:type="pct"/>
            <w:vAlign w:val="center"/>
          </w:tcPr>
          <w:p w14:paraId="11728342" w14:textId="77777777" w:rsidR="00161CC3" w:rsidRDefault="00000000">
            <w:r>
              <w:t>Unaprijed plaćeni rashodi budućih razdoblja</w:t>
            </w:r>
          </w:p>
        </w:tc>
        <w:tc>
          <w:tcPr>
            <w:tcW w:w="999" w:type="pct"/>
            <w:vAlign w:val="center"/>
          </w:tcPr>
          <w:p w14:paraId="71222F0D" w14:textId="77777777" w:rsidR="00161CC3" w:rsidRDefault="00000000">
            <w:r>
              <w:t>4.554,05</w:t>
            </w:r>
          </w:p>
        </w:tc>
        <w:tc>
          <w:tcPr>
            <w:tcW w:w="999" w:type="pct"/>
            <w:vAlign w:val="center"/>
          </w:tcPr>
          <w:p w14:paraId="4773E8C7" w14:textId="77777777" w:rsidR="00161CC3" w:rsidRDefault="00000000">
            <w:r>
              <w:t>277,62</w:t>
            </w:r>
          </w:p>
        </w:tc>
        <w:tc>
          <w:tcPr>
            <w:tcW w:w="1000" w:type="pct"/>
            <w:vAlign w:val="center"/>
          </w:tcPr>
          <w:p w14:paraId="44B5F93A" w14:textId="77777777" w:rsidR="00161CC3" w:rsidRDefault="00000000">
            <w:r>
              <w:t>112,8</w:t>
            </w:r>
          </w:p>
        </w:tc>
      </w:tr>
    </w:tbl>
    <w:p w14:paraId="38007623" w14:textId="77777777" w:rsidR="00161CC3" w:rsidRDefault="00000000">
      <w:r>
        <w:t xml:space="preserve">U </w:t>
      </w:r>
      <w:proofErr w:type="spellStart"/>
      <w:r>
        <w:t>unaprije</w:t>
      </w:r>
      <w:proofErr w:type="spellEnd"/>
      <w:r>
        <w:t xml:space="preserve"> plaćene rashode evidentirali smo plaćenu cestarinu.</w:t>
      </w:r>
    </w:p>
    <w:p w14:paraId="04C0DE0E" w14:textId="77777777" w:rsidR="00161CC3" w:rsidRDefault="00161CC3"/>
    <w:p w14:paraId="7613818B" w14:textId="77777777" w:rsidR="00161CC3" w:rsidRDefault="00000000">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16EEA1B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5DB61E"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7208A38"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6360B6"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81DBD6" w14:textId="77777777" w:rsidR="00161CC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9DBAA02" w14:textId="77777777" w:rsidR="00161CC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B1605EF" w14:textId="77777777" w:rsidR="00161CC3" w:rsidRDefault="00000000">
            <w:pPr>
              <w:keepNext/>
              <w:keepLines/>
              <w:spacing w:after="0" w:line="240" w:lineRule="auto"/>
              <w:jc w:val="center"/>
            </w:pPr>
            <w:r>
              <w:rPr>
                <w:b/>
                <w:sz w:val="18"/>
              </w:rPr>
              <w:t>Indeks (%)</w:t>
            </w:r>
          </w:p>
        </w:tc>
      </w:tr>
      <w:tr w:rsidR="00161CC3" w14:paraId="50D9AD71" w14:textId="77777777">
        <w:tblPrEx>
          <w:tblCellMar>
            <w:top w:w="0" w:type="dxa"/>
            <w:bottom w:w="0" w:type="dxa"/>
          </w:tblCellMar>
        </w:tblPrEx>
        <w:trPr>
          <w:cantSplit/>
          <w:trHeight w:val="560"/>
        </w:trPr>
        <w:tc>
          <w:tcPr>
            <w:tcW w:w="700" w:type="dxa"/>
            <w:tcMar>
              <w:top w:w="0" w:type="dxa"/>
              <w:bottom w:w="0" w:type="dxa"/>
            </w:tcMar>
            <w:vAlign w:val="center"/>
          </w:tcPr>
          <w:p w14:paraId="5BBF38CE" w14:textId="77777777" w:rsidR="00161CC3" w:rsidRDefault="00000000">
            <w:pPr>
              <w:keepNext/>
              <w:keepLines/>
              <w:spacing w:after="0" w:line="240" w:lineRule="auto"/>
            </w:pPr>
            <w:r>
              <w:rPr>
                <w:sz w:val="18"/>
              </w:rPr>
              <w:t>2</w:t>
            </w:r>
          </w:p>
        </w:tc>
        <w:tc>
          <w:tcPr>
            <w:tcW w:w="3180" w:type="dxa"/>
            <w:tcMar>
              <w:top w:w="0" w:type="dxa"/>
              <w:bottom w:w="0" w:type="dxa"/>
            </w:tcMar>
            <w:vAlign w:val="center"/>
          </w:tcPr>
          <w:p w14:paraId="51F327AD" w14:textId="77777777" w:rsidR="00161CC3" w:rsidRDefault="00000000">
            <w:pPr>
              <w:keepNext/>
              <w:keepLines/>
              <w:spacing w:after="0" w:line="240" w:lineRule="auto"/>
            </w:pPr>
            <w:r>
              <w:rPr>
                <w:sz w:val="18"/>
              </w:rPr>
              <w:t>Obveze (šifre 23+24+25+26+27+29)</w:t>
            </w:r>
          </w:p>
        </w:tc>
        <w:tc>
          <w:tcPr>
            <w:tcW w:w="700" w:type="dxa"/>
            <w:tcMar>
              <w:top w:w="0" w:type="dxa"/>
              <w:bottom w:w="0" w:type="dxa"/>
            </w:tcMar>
            <w:vAlign w:val="center"/>
          </w:tcPr>
          <w:p w14:paraId="784606D0" w14:textId="77777777" w:rsidR="00161CC3" w:rsidRDefault="00000000">
            <w:pPr>
              <w:keepNext/>
              <w:keepLines/>
              <w:spacing w:after="0" w:line="240" w:lineRule="auto"/>
            </w:pPr>
            <w:r>
              <w:rPr>
                <w:sz w:val="18"/>
              </w:rPr>
              <w:t>2</w:t>
            </w:r>
          </w:p>
        </w:tc>
        <w:tc>
          <w:tcPr>
            <w:tcW w:w="1860" w:type="dxa"/>
            <w:tcMar>
              <w:top w:w="0" w:type="dxa"/>
              <w:bottom w:w="0" w:type="dxa"/>
            </w:tcMar>
            <w:vAlign w:val="center"/>
          </w:tcPr>
          <w:p w14:paraId="31805A24" w14:textId="77777777" w:rsidR="00161CC3" w:rsidRDefault="00000000">
            <w:pPr>
              <w:keepNext/>
              <w:keepLines/>
              <w:spacing w:after="0" w:line="240" w:lineRule="auto"/>
              <w:jc w:val="right"/>
            </w:pPr>
            <w:r>
              <w:rPr>
                <w:sz w:val="18"/>
              </w:rPr>
              <w:t>6.500.511,44</w:t>
            </w:r>
          </w:p>
        </w:tc>
        <w:tc>
          <w:tcPr>
            <w:tcW w:w="1860" w:type="dxa"/>
            <w:tcMar>
              <w:top w:w="0" w:type="dxa"/>
              <w:bottom w:w="0" w:type="dxa"/>
            </w:tcMar>
            <w:vAlign w:val="center"/>
          </w:tcPr>
          <w:p w14:paraId="240EE53B" w14:textId="77777777" w:rsidR="00161CC3" w:rsidRDefault="00000000">
            <w:pPr>
              <w:keepNext/>
              <w:keepLines/>
              <w:spacing w:after="0" w:line="240" w:lineRule="auto"/>
              <w:jc w:val="right"/>
            </w:pPr>
            <w:r>
              <w:rPr>
                <w:sz w:val="18"/>
              </w:rPr>
              <w:t>7.226.088,64</w:t>
            </w:r>
          </w:p>
        </w:tc>
        <w:tc>
          <w:tcPr>
            <w:tcW w:w="700" w:type="dxa"/>
            <w:tcMar>
              <w:top w:w="0" w:type="dxa"/>
              <w:bottom w:w="0" w:type="dxa"/>
            </w:tcMar>
            <w:vAlign w:val="center"/>
          </w:tcPr>
          <w:p w14:paraId="6A7CCD37" w14:textId="77777777" w:rsidR="00161CC3" w:rsidRDefault="00000000">
            <w:pPr>
              <w:keepNext/>
              <w:keepLines/>
              <w:spacing w:after="0" w:line="240" w:lineRule="auto"/>
              <w:jc w:val="right"/>
            </w:pPr>
            <w:r>
              <w:rPr>
                <w:sz w:val="18"/>
              </w:rPr>
              <w:t>111,2</w:t>
            </w:r>
          </w:p>
        </w:tc>
      </w:tr>
    </w:tbl>
    <w:p w14:paraId="49DFA88F" w14:textId="77777777" w:rsidR="00161CC3" w:rsidRDefault="00161CC3">
      <w:pPr>
        <w:spacing w:after="0"/>
      </w:pPr>
    </w:p>
    <w:p w14:paraId="24524DFE" w14:textId="77777777" w:rsidR="00161CC3" w:rsidRDefault="00000000">
      <w:r>
        <w:t>Najveće smanjenje se odnosi na obveze za nabavu nefinancijske imovine , a razlog  tome što su u 2025. godine tek započele nove investicije pa samim tim su se i obveze smanjile u odnosu na prethodnu godinu.</w:t>
      </w:r>
    </w:p>
    <w:p w14:paraId="0486CD2A" w14:textId="77777777" w:rsidR="00161CC3" w:rsidRDefault="00000000">
      <w:r>
        <w:lastRenderedPageBreak/>
        <w:t xml:space="preserve">Do povećanja obveza za financijske rashode došlo je zbog novog zaduživanja po dugoročnom kreditu za izgradnju zgrade dječjeg vrtića na </w:t>
      </w:r>
      <w:proofErr w:type="spellStart"/>
      <w:r>
        <w:t>Vinežu</w:t>
      </w:r>
      <w:proofErr w:type="spellEnd"/>
      <w:r>
        <w:t>.</w:t>
      </w:r>
    </w:p>
    <w:p w14:paraId="4279671A" w14:textId="77777777" w:rsidR="00161CC3" w:rsidRDefault="00161CC3"/>
    <w:p w14:paraId="467515AE" w14:textId="77777777" w:rsidR="00161CC3" w:rsidRDefault="00000000">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7D454A6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CD87C2"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BDDE542"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B0EF43"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D7D8D2" w14:textId="77777777" w:rsidR="00161CC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3A5D751" w14:textId="77777777" w:rsidR="00161CC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C420EFA" w14:textId="77777777" w:rsidR="00161CC3" w:rsidRDefault="00000000">
            <w:pPr>
              <w:keepNext/>
              <w:keepLines/>
              <w:spacing w:after="0" w:line="240" w:lineRule="auto"/>
              <w:jc w:val="center"/>
            </w:pPr>
            <w:r>
              <w:rPr>
                <w:b/>
                <w:sz w:val="18"/>
              </w:rPr>
              <w:t>Indeks (%)</w:t>
            </w:r>
          </w:p>
        </w:tc>
      </w:tr>
      <w:tr w:rsidR="00161CC3" w14:paraId="2F261AE9" w14:textId="77777777">
        <w:tblPrEx>
          <w:tblCellMar>
            <w:top w:w="0" w:type="dxa"/>
            <w:bottom w:w="0" w:type="dxa"/>
          </w:tblCellMar>
        </w:tblPrEx>
        <w:trPr>
          <w:cantSplit/>
          <w:trHeight w:val="560"/>
        </w:trPr>
        <w:tc>
          <w:tcPr>
            <w:tcW w:w="700" w:type="dxa"/>
            <w:tcMar>
              <w:top w:w="0" w:type="dxa"/>
              <w:bottom w:w="0" w:type="dxa"/>
            </w:tcMar>
            <w:vAlign w:val="center"/>
          </w:tcPr>
          <w:p w14:paraId="664483D2" w14:textId="77777777" w:rsidR="00161CC3" w:rsidRDefault="00000000">
            <w:pPr>
              <w:keepNext/>
              <w:keepLines/>
              <w:spacing w:after="0" w:line="240" w:lineRule="auto"/>
            </w:pPr>
            <w:r>
              <w:rPr>
                <w:sz w:val="18"/>
              </w:rPr>
              <w:t>26</w:t>
            </w:r>
          </w:p>
        </w:tc>
        <w:tc>
          <w:tcPr>
            <w:tcW w:w="3180" w:type="dxa"/>
            <w:tcMar>
              <w:top w:w="0" w:type="dxa"/>
              <w:bottom w:w="0" w:type="dxa"/>
            </w:tcMar>
            <w:vAlign w:val="center"/>
          </w:tcPr>
          <w:p w14:paraId="6D81FBDC" w14:textId="77777777" w:rsidR="00161CC3" w:rsidRDefault="00000000">
            <w:pPr>
              <w:keepNext/>
              <w:keepLines/>
              <w:spacing w:after="0" w:line="240" w:lineRule="auto"/>
            </w:pPr>
            <w:r>
              <w:rPr>
                <w:sz w:val="18"/>
              </w:rPr>
              <w:t>Obveze za kredite i zajmove (šifre 26X1+26X2)</w:t>
            </w:r>
          </w:p>
        </w:tc>
        <w:tc>
          <w:tcPr>
            <w:tcW w:w="700" w:type="dxa"/>
            <w:tcMar>
              <w:top w:w="0" w:type="dxa"/>
              <w:bottom w:w="0" w:type="dxa"/>
            </w:tcMar>
            <w:vAlign w:val="center"/>
          </w:tcPr>
          <w:p w14:paraId="2EA80854" w14:textId="77777777" w:rsidR="00161CC3" w:rsidRDefault="00000000">
            <w:pPr>
              <w:keepNext/>
              <w:keepLines/>
              <w:spacing w:after="0" w:line="240" w:lineRule="auto"/>
            </w:pPr>
            <w:r>
              <w:rPr>
                <w:sz w:val="18"/>
              </w:rPr>
              <w:t>26</w:t>
            </w:r>
          </w:p>
        </w:tc>
        <w:tc>
          <w:tcPr>
            <w:tcW w:w="1860" w:type="dxa"/>
            <w:tcMar>
              <w:top w:w="0" w:type="dxa"/>
              <w:bottom w:w="0" w:type="dxa"/>
            </w:tcMar>
            <w:vAlign w:val="center"/>
          </w:tcPr>
          <w:p w14:paraId="7F545D72" w14:textId="77777777" w:rsidR="00161CC3" w:rsidRDefault="00000000">
            <w:pPr>
              <w:keepNext/>
              <w:keepLines/>
              <w:spacing w:after="0" w:line="240" w:lineRule="auto"/>
              <w:jc w:val="right"/>
            </w:pPr>
            <w:r>
              <w:rPr>
                <w:sz w:val="18"/>
              </w:rPr>
              <w:t>5.334.194,09</w:t>
            </w:r>
          </w:p>
        </w:tc>
        <w:tc>
          <w:tcPr>
            <w:tcW w:w="1860" w:type="dxa"/>
            <w:tcMar>
              <w:top w:w="0" w:type="dxa"/>
              <w:bottom w:w="0" w:type="dxa"/>
            </w:tcMar>
            <w:vAlign w:val="center"/>
          </w:tcPr>
          <w:p w14:paraId="6291E3EF" w14:textId="77777777" w:rsidR="00161CC3" w:rsidRDefault="00000000">
            <w:pPr>
              <w:keepNext/>
              <w:keepLines/>
              <w:spacing w:after="0" w:line="240" w:lineRule="auto"/>
              <w:jc w:val="right"/>
            </w:pPr>
            <w:r>
              <w:rPr>
                <w:sz w:val="18"/>
              </w:rPr>
              <w:t>6.227.251,97</w:t>
            </w:r>
          </w:p>
        </w:tc>
        <w:tc>
          <w:tcPr>
            <w:tcW w:w="700" w:type="dxa"/>
            <w:tcMar>
              <w:top w:w="0" w:type="dxa"/>
              <w:bottom w:w="0" w:type="dxa"/>
            </w:tcMar>
            <w:vAlign w:val="center"/>
          </w:tcPr>
          <w:p w14:paraId="11E23C0B" w14:textId="77777777" w:rsidR="00161CC3" w:rsidRDefault="00000000">
            <w:pPr>
              <w:keepNext/>
              <w:keepLines/>
              <w:spacing w:after="0" w:line="240" w:lineRule="auto"/>
              <w:jc w:val="right"/>
            </w:pPr>
            <w:r>
              <w:rPr>
                <w:sz w:val="18"/>
              </w:rPr>
              <w:t>116,7</w:t>
            </w:r>
          </w:p>
        </w:tc>
      </w:tr>
    </w:tbl>
    <w:p w14:paraId="63E316DD" w14:textId="77777777" w:rsidR="00161CC3" w:rsidRDefault="00161CC3">
      <w:pPr>
        <w:spacing w:after="0"/>
      </w:pPr>
    </w:p>
    <w:p w14:paraId="19F0FB4C" w14:textId="77777777" w:rsidR="00161CC3" w:rsidRDefault="00000000">
      <w:r>
        <w:br/>
        <w:t> </w:t>
      </w:r>
      <w:r>
        <w:br/>
        <w:t> </w:t>
      </w:r>
    </w:p>
    <w:tbl>
      <w:tblPr>
        <w:tblStyle w:val="Reetkatablice"/>
        <w:tblW w:w="5000" w:type="pct"/>
        <w:tblLook w:val="04A0" w:firstRow="1" w:lastRow="0" w:firstColumn="1" w:lastColumn="0" w:noHBand="0" w:noVBand="1"/>
      </w:tblPr>
      <w:tblGrid>
        <w:gridCol w:w="1615"/>
        <w:gridCol w:w="1323"/>
        <w:gridCol w:w="1697"/>
        <w:gridCol w:w="1483"/>
        <w:gridCol w:w="1581"/>
        <w:gridCol w:w="1363"/>
      </w:tblGrid>
      <w:tr w:rsidR="00161CC3" w14:paraId="41E1D9BA" w14:textId="77777777">
        <w:trPr>
          <w:trHeight w:val="542"/>
        </w:trPr>
        <w:tc>
          <w:tcPr>
            <w:tcW w:w="915" w:type="pct"/>
            <w:vAlign w:val="center"/>
          </w:tcPr>
          <w:p w14:paraId="4CE5525F" w14:textId="77777777" w:rsidR="00161CC3" w:rsidRDefault="00000000">
            <w:r>
              <w:t>RAČUN</w:t>
            </w:r>
          </w:p>
        </w:tc>
        <w:tc>
          <w:tcPr>
            <w:tcW w:w="754" w:type="pct"/>
            <w:vAlign w:val="center"/>
          </w:tcPr>
          <w:p w14:paraId="1495F675" w14:textId="77777777" w:rsidR="00161CC3" w:rsidRDefault="00000000">
            <w:r>
              <w:t>OPIS</w:t>
            </w:r>
          </w:p>
        </w:tc>
        <w:tc>
          <w:tcPr>
            <w:tcW w:w="960" w:type="pct"/>
            <w:vAlign w:val="center"/>
          </w:tcPr>
          <w:p w14:paraId="581CA837" w14:textId="77777777" w:rsidR="00161CC3" w:rsidRDefault="00000000">
            <w:r>
              <w:t>01.01.2025.</w:t>
            </w:r>
          </w:p>
        </w:tc>
        <w:tc>
          <w:tcPr>
            <w:tcW w:w="802" w:type="pct"/>
            <w:vAlign w:val="center"/>
          </w:tcPr>
          <w:p w14:paraId="5E6E2B48" w14:textId="77777777" w:rsidR="00161CC3" w:rsidRDefault="00000000">
            <w:r>
              <w:t>PROMJENA</w:t>
            </w:r>
          </w:p>
        </w:tc>
        <w:tc>
          <w:tcPr>
            <w:tcW w:w="896" w:type="pct"/>
            <w:vAlign w:val="center"/>
          </w:tcPr>
          <w:p w14:paraId="437F592D" w14:textId="77777777" w:rsidR="00161CC3" w:rsidRDefault="00000000">
            <w:r>
              <w:t>31.12.2025.</w:t>
            </w:r>
          </w:p>
        </w:tc>
        <w:tc>
          <w:tcPr>
            <w:tcW w:w="669" w:type="pct"/>
            <w:vAlign w:val="center"/>
          </w:tcPr>
          <w:p w14:paraId="078CDC08" w14:textId="77777777" w:rsidR="00161CC3" w:rsidRDefault="00000000">
            <w:r>
              <w:t>NAMJENA</w:t>
            </w:r>
          </w:p>
        </w:tc>
      </w:tr>
      <w:tr w:rsidR="00161CC3" w14:paraId="1062DFEA" w14:textId="77777777">
        <w:trPr>
          <w:trHeight w:val="542"/>
        </w:trPr>
        <w:tc>
          <w:tcPr>
            <w:tcW w:w="915" w:type="pct"/>
            <w:vAlign w:val="center"/>
          </w:tcPr>
          <w:p w14:paraId="106A7E9A" w14:textId="77777777" w:rsidR="00161CC3" w:rsidRDefault="00000000">
            <w:r>
              <w:t>262222</w:t>
            </w:r>
          </w:p>
        </w:tc>
        <w:tc>
          <w:tcPr>
            <w:tcW w:w="754" w:type="pct"/>
            <w:vAlign w:val="center"/>
          </w:tcPr>
          <w:p w14:paraId="60879F1A" w14:textId="77777777" w:rsidR="00161CC3" w:rsidRDefault="00000000">
            <w:r>
              <w:t>HBOR-JR-dugoročni</w:t>
            </w:r>
          </w:p>
        </w:tc>
        <w:tc>
          <w:tcPr>
            <w:tcW w:w="960" w:type="pct"/>
            <w:vAlign w:val="center"/>
          </w:tcPr>
          <w:p w14:paraId="4DEF9B63" w14:textId="77777777" w:rsidR="00161CC3" w:rsidRDefault="00000000">
            <w:r>
              <w:t>269.782,20</w:t>
            </w:r>
          </w:p>
        </w:tc>
        <w:tc>
          <w:tcPr>
            <w:tcW w:w="802" w:type="pct"/>
            <w:vAlign w:val="center"/>
          </w:tcPr>
          <w:p w14:paraId="7C28F0DD" w14:textId="77777777" w:rsidR="00161CC3" w:rsidRDefault="00000000">
            <w:r>
              <w:t>31.739,08</w:t>
            </w:r>
          </w:p>
        </w:tc>
        <w:tc>
          <w:tcPr>
            <w:tcW w:w="896" w:type="pct"/>
            <w:vAlign w:val="center"/>
          </w:tcPr>
          <w:p w14:paraId="49AD4E90" w14:textId="77777777" w:rsidR="00161CC3" w:rsidRDefault="00000000">
            <w:r>
              <w:t>238.043,12</w:t>
            </w:r>
          </w:p>
        </w:tc>
        <w:tc>
          <w:tcPr>
            <w:tcW w:w="669" w:type="pct"/>
            <w:vAlign w:val="center"/>
          </w:tcPr>
          <w:p w14:paraId="18ABC2F5" w14:textId="77777777" w:rsidR="00161CC3" w:rsidRDefault="00000000">
            <w:r>
              <w:t>Javna rasvjeta</w:t>
            </w:r>
          </w:p>
        </w:tc>
      </w:tr>
      <w:tr w:rsidR="00161CC3" w14:paraId="4452AC30" w14:textId="77777777">
        <w:trPr>
          <w:trHeight w:val="542"/>
        </w:trPr>
        <w:tc>
          <w:tcPr>
            <w:tcW w:w="915" w:type="pct"/>
            <w:vAlign w:val="center"/>
          </w:tcPr>
          <w:p w14:paraId="3C34BC3F" w14:textId="77777777" w:rsidR="00161CC3" w:rsidRDefault="00000000">
            <w:r>
              <w:rPr>
                <w:b/>
              </w:rPr>
              <w:t>262</w:t>
            </w:r>
          </w:p>
        </w:tc>
        <w:tc>
          <w:tcPr>
            <w:tcW w:w="754" w:type="pct"/>
            <w:vAlign w:val="center"/>
          </w:tcPr>
          <w:p w14:paraId="4E26851E" w14:textId="77777777" w:rsidR="00161CC3" w:rsidRDefault="00000000">
            <w:r>
              <w:rPr>
                <w:b/>
              </w:rPr>
              <w:t>UKUPNO</w:t>
            </w:r>
          </w:p>
        </w:tc>
        <w:tc>
          <w:tcPr>
            <w:tcW w:w="960" w:type="pct"/>
            <w:vAlign w:val="center"/>
          </w:tcPr>
          <w:p w14:paraId="36CDADA2" w14:textId="77777777" w:rsidR="00161CC3" w:rsidRDefault="00000000">
            <w:r>
              <w:rPr>
                <w:b/>
              </w:rPr>
              <w:t>269.782,20</w:t>
            </w:r>
          </w:p>
        </w:tc>
        <w:tc>
          <w:tcPr>
            <w:tcW w:w="802" w:type="pct"/>
            <w:vAlign w:val="center"/>
          </w:tcPr>
          <w:p w14:paraId="0B8B029C" w14:textId="77777777" w:rsidR="00161CC3" w:rsidRDefault="00000000">
            <w:r>
              <w:t> </w:t>
            </w:r>
          </w:p>
        </w:tc>
        <w:tc>
          <w:tcPr>
            <w:tcW w:w="896" w:type="pct"/>
            <w:vAlign w:val="center"/>
          </w:tcPr>
          <w:p w14:paraId="6EEFDD95" w14:textId="77777777" w:rsidR="00161CC3" w:rsidRDefault="00000000">
            <w:r>
              <w:rPr>
                <w:b/>
              </w:rPr>
              <w:t>238.043,12</w:t>
            </w:r>
          </w:p>
        </w:tc>
        <w:tc>
          <w:tcPr>
            <w:tcW w:w="669" w:type="pct"/>
            <w:vAlign w:val="center"/>
          </w:tcPr>
          <w:p w14:paraId="03147ED7" w14:textId="77777777" w:rsidR="00161CC3" w:rsidRDefault="00000000">
            <w:r>
              <w:t> </w:t>
            </w:r>
          </w:p>
        </w:tc>
      </w:tr>
      <w:tr w:rsidR="00161CC3" w14:paraId="5A8BA3B8" w14:textId="77777777">
        <w:trPr>
          <w:trHeight w:val="542"/>
        </w:trPr>
        <w:tc>
          <w:tcPr>
            <w:tcW w:w="915" w:type="pct"/>
            <w:vAlign w:val="center"/>
          </w:tcPr>
          <w:p w14:paraId="32A47C1E" w14:textId="77777777" w:rsidR="00161CC3" w:rsidRDefault="00000000">
            <w:r>
              <w:t>264325</w:t>
            </w:r>
          </w:p>
        </w:tc>
        <w:tc>
          <w:tcPr>
            <w:tcW w:w="754" w:type="pct"/>
            <w:vAlign w:val="center"/>
          </w:tcPr>
          <w:p w14:paraId="6B3A4ABC" w14:textId="77777777" w:rsidR="00161CC3" w:rsidRDefault="00000000">
            <w:r>
              <w:t>OTP banka</w:t>
            </w:r>
          </w:p>
        </w:tc>
        <w:tc>
          <w:tcPr>
            <w:tcW w:w="960" w:type="pct"/>
            <w:vAlign w:val="center"/>
          </w:tcPr>
          <w:p w14:paraId="36520536" w14:textId="77777777" w:rsidR="00161CC3" w:rsidRDefault="00000000">
            <w:r>
              <w:t>1.003.093,94</w:t>
            </w:r>
          </w:p>
        </w:tc>
        <w:tc>
          <w:tcPr>
            <w:tcW w:w="802" w:type="pct"/>
            <w:vAlign w:val="center"/>
          </w:tcPr>
          <w:p w14:paraId="039EA64A" w14:textId="77777777" w:rsidR="00161CC3" w:rsidRDefault="00000000">
            <w:r>
              <w:t>334.364,68</w:t>
            </w:r>
          </w:p>
        </w:tc>
        <w:tc>
          <w:tcPr>
            <w:tcW w:w="896" w:type="pct"/>
            <w:vAlign w:val="center"/>
          </w:tcPr>
          <w:p w14:paraId="785E04CD" w14:textId="77777777" w:rsidR="00161CC3" w:rsidRDefault="00000000">
            <w:r>
              <w:t>668.729,26</w:t>
            </w:r>
          </w:p>
        </w:tc>
        <w:tc>
          <w:tcPr>
            <w:tcW w:w="669" w:type="pct"/>
            <w:vAlign w:val="center"/>
          </w:tcPr>
          <w:p w14:paraId="49EB14D9" w14:textId="77777777" w:rsidR="00161CC3" w:rsidRDefault="00000000">
            <w:r>
              <w:t>Sportska dvorana</w:t>
            </w:r>
          </w:p>
        </w:tc>
      </w:tr>
      <w:tr w:rsidR="00161CC3" w14:paraId="5B730E83" w14:textId="77777777">
        <w:trPr>
          <w:trHeight w:val="542"/>
        </w:trPr>
        <w:tc>
          <w:tcPr>
            <w:tcW w:w="915" w:type="pct"/>
            <w:vAlign w:val="center"/>
          </w:tcPr>
          <w:p w14:paraId="3A14B059" w14:textId="77777777" w:rsidR="00161CC3" w:rsidRDefault="00000000">
            <w:r>
              <w:t>264327</w:t>
            </w:r>
          </w:p>
        </w:tc>
        <w:tc>
          <w:tcPr>
            <w:tcW w:w="754" w:type="pct"/>
            <w:vAlign w:val="center"/>
          </w:tcPr>
          <w:p w14:paraId="46BE0C64" w14:textId="77777777" w:rsidR="00161CC3" w:rsidRDefault="00000000">
            <w:r>
              <w:t>PBZ</w:t>
            </w:r>
          </w:p>
        </w:tc>
        <w:tc>
          <w:tcPr>
            <w:tcW w:w="960" w:type="pct"/>
            <w:vAlign w:val="center"/>
          </w:tcPr>
          <w:p w14:paraId="03EE2BCD" w14:textId="77777777" w:rsidR="00161CC3" w:rsidRDefault="00000000">
            <w:r>
              <w:t>4.061.317,95</w:t>
            </w:r>
          </w:p>
        </w:tc>
        <w:tc>
          <w:tcPr>
            <w:tcW w:w="802" w:type="pct"/>
            <w:vAlign w:val="center"/>
          </w:tcPr>
          <w:p w14:paraId="63131849" w14:textId="77777777" w:rsidR="00161CC3" w:rsidRDefault="00000000">
            <w:r>
              <w:t>300.838,36</w:t>
            </w:r>
          </w:p>
        </w:tc>
        <w:tc>
          <w:tcPr>
            <w:tcW w:w="896" w:type="pct"/>
            <w:vAlign w:val="center"/>
          </w:tcPr>
          <w:p w14:paraId="6E9786ED" w14:textId="77777777" w:rsidR="00161CC3" w:rsidRDefault="00000000">
            <w:r>
              <w:t>3.760.479,59</w:t>
            </w:r>
          </w:p>
        </w:tc>
        <w:tc>
          <w:tcPr>
            <w:tcW w:w="669" w:type="pct"/>
            <w:vAlign w:val="center"/>
          </w:tcPr>
          <w:p w14:paraId="46202D34" w14:textId="77777777" w:rsidR="00161CC3" w:rsidRDefault="00000000">
            <w:r>
              <w:t>Dom za starije</w:t>
            </w:r>
          </w:p>
        </w:tc>
      </w:tr>
      <w:tr w:rsidR="00161CC3" w14:paraId="54E8C143" w14:textId="77777777">
        <w:trPr>
          <w:trHeight w:val="542"/>
        </w:trPr>
        <w:tc>
          <w:tcPr>
            <w:tcW w:w="915" w:type="pct"/>
            <w:vAlign w:val="center"/>
          </w:tcPr>
          <w:p w14:paraId="6800A3A2" w14:textId="77777777" w:rsidR="00161CC3" w:rsidRDefault="00000000">
            <w:r>
              <w:t>264328</w:t>
            </w:r>
          </w:p>
        </w:tc>
        <w:tc>
          <w:tcPr>
            <w:tcW w:w="754" w:type="pct"/>
            <w:vAlign w:val="center"/>
          </w:tcPr>
          <w:p w14:paraId="7B927B34" w14:textId="77777777" w:rsidR="00161CC3" w:rsidRDefault="00000000">
            <w:r>
              <w:t>PBZ</w:t>
            </w:r>
          </w:p>
        </w:tc>
        <w:tc>
          <w:tcPr>
            <w:tcW w:w="960" w:type="pct"/>
            <w:vAlign w:val="center"/>
          </w:tcPr>
          <w:p w14:paraId="3D8D75AC" w14:textId="77777777" w:rsidR="00161CC3" w:rsidRDefault="00000000">
            <w:r>
              <w:t>0,00</w:t>
            </w:r>
          </w:p>
        </w:tc>
        <w:tc>
          <w:tcPr>
            <w:tcW w:w="802" w:type="pct"/>
            <w:vAlign w:val="center"/>
          </w:tcPr>
          <w:p w14:paraId="76E82405" w14:textId="77777777" w:rsidR="00161CC3" w:rsidRDefault="00000000">
            <w:r>
              <w:t>1.560.000,00</w:t>
            </w:r>
          </w:p>
        </w:tc>
        <w:tc>
          <w:tcPr>
            <w:tcW w:w="896" w:type="pct"/>
            <w:vAlign w:val="center"/>
          </w:tcPr>
          <w:p w14:paraId="42BABA2B" w14:textId="77777777" w:rsidR="00161CC3" w:rsidRDefault="00000000">
            <w:r>
              <w:t>1.560.000,00</w:t>
            </w:r>
          </w:p>
        </w:tc>
        <w:tc>
          <w:tcPr>
            <w:tcW w:w="669" w:type="pct"/>
            <w:vAlign w:val="center"/>
          </w:tcPr>
          <w:p w14:paraId="1084E242" w14:textId="77777777" w:rsidR="00161CC3" w:rsidRDefault="00000000">
            <w:r>
              <w:t>Dječji vrtić Vinež</w:t>
            </w:r>
          </w:p>
        </w:tc>
      </w:tr>
      <w:tr w:rsidR="00161CC3" w14:paraId="44F135A1" w14:textId="77777777">
        <w:trPr>
          <w:trHeight w:val="542"/>
        </w:trPr>
        <w:tc>
          <w:tcPr>
            <w:tcW w:w="915" w:type="pct"/>
            <w:vAlign w:val="center"/>
          </w:tcPr>
          <w:p w14:paraId="004B0587" w14:textId="77777777" w:rsidR="00161CC3" w:rsidRDefault="00000000">
            <w:r>
              <w:rPr>
                <w:b/>
              </w:rPr>
              <w:t>264</w:t>
            </w:r>
          </w:p>
        </w:tc>
        <w:tc>
          <w:tcPr>
            <w:tcW w:w="754" w:type="pct"/>
            <w:vAlign w:val="center"/>
          </w:tcPr>
          <w:p w14:paraId="591FCBE1" w14:textId="77777777" w:rsidR="00161CC3" w:rsidRDefault="00000000">
            <w:r>
              <w:rPr>
                <w:b/>
              </w:rPr>
              <w:t>UKUPNO</w:t>
            </w:r>
          </w:p>
        </w:tc>
        <w:tc>
          <w:tcPr>
            <w:tcW w:w="960" w:type="pct"/>
            <w:vAlign w:val="center"/>
          </w:tcPr>
          <w:p w14:paraId="33DD6DA7" w14:textId="77777777" w:rsidR="00161CC3" w:rsidRDefault="00000000">
            <w:r>
              <w:rPr>
                <w:b/>
              </w:rPr>
              <w:t>5.064.411,89</w:t>
            </w:r>
          </w:p>
        </w:tc>
        <w:tc>
          <w:tcPr>
            <w:tcW w:w="802" w:type="pct"/>
            <w:vAlign w:val="center"/>
          </w:tcPr>
          <w:p w14:paraId="50C46BA5" w14:textId="77777777" w:rsidR="00161CC3" w:rsidRDefault="00000000">
            <w:r>
              <w:t> </w:t>
            </w:r>
          </w:p>
        </w:tc>
        <w:tc>
          <w:tcPr>
            <w:tcW w:w="896" w:type="pct"/>
            <w:vAlign w:val="center"/>
          </w:tcPr>
          <w:p w14:paraId="1A6279D4" w14:textId="77777777" w:rsidR="00161CC3" w:rsidRDefault="00000000">
            <w:r>
              <w:rPr>
                <w:b/>
              </w:rPr>
              <w:t>5.989.208,85</w:t>
            </w:r>
          </w:p>
        </w:tc>
        <w:tc>
          <w:tcPr>
            <w:tcW w:w="669" w:type="pct"/>
            <w:vAlign w:val="center"/>
          </w:tcPr>
          <w:p w14:paraId="4EE8682C" w14:textId="77777777" w:rsidR="00161CC3" w:rsidRDefault="00000000">
            <w:r>
              <w:t> </w:t>
            </w:r>
          </w:p>
        </w:tc>
      </w:tr>
      <w:tr w:rsidR="00161CC3" w14:paraId="4247EC43" w14:textId="77777777">
        <w:trPr>
          <w:trHeight w:val="542"/>
        </w:trPr>
        <w:tc>
          <w:tcPr>
            <w:tcW w:w="915" w:type="pct"/>
            <w:vAlign w:val="center"/>
          </w:tcPr>
          <w:p w14:paraId="74A32C90" w14:textId="77777777" w:rsidR="00161CC3" w:rsidRDefault="00000000">
            <w:r>
              <w:rPr>
                <w:b/>
              </w:rPr>
              <w:t>26</w:t>
            </w:r>
          </w:p>
        </w:tc>
        <w:tc>
          <w:tcPr>
            <w:tcW w:w="754" w:type="pct"/>
            <w:vAlign w:val="center"/>
          </w:tcPr>
          <w:p w14:paraId="32F190AA" w14:textId="77777777" w:rsidR="00161CC3" w:rsidRDefault="00000000">
            <w:r>
              <w:rPr>
                <w:b/>
              </w:rPr>
              <w:t>UKUPNO</w:t>
            </w:r>
          </w:p>
        </w:tc>
        <w:tc>
          <w:tcPr>
            <w:tcW w:w="960" w:type="pct"/>
            <w:vAlign w:val="center"/>
          </w:tcPr>
          <w:p w14:paraId="7847A970" w14:textId="77777777" w:rsidR="00161CC3" w:rsidRDefault="00000000">
            <w:r>
              <w:rPr>
                <w:b/>
              </w:rPr>
              <w:t>5.334.194,09</w:t>
            </w:r>
          </w:p>
        </w:tc>
        <w:tc>
          <w:tcPr>
            <w:tcW w:w="802" w:type="pct"/>
            <w:vAlign w:val="center"/>
          </w:tcPr>
          <w:p w14:paraId="703C2C2A" w14:textId="77777777" w:rsidR="00161CC3" w:rsidRDefault="00000000">
            <w:r>
              <w:t> </w:t>
            </w:r>
          </w:p>
        </w:tc>
        <w:tc>
          <w:tcPr>
            <w:tcW w:w="896" w:type="pct"/>
            <w:vAlign w:val="center"/>
          </w:tcPr>
          <w:p w14:paraId="4F773879" w14:textId="77777777" w:rsidR="00161CC3" w:rsidRDefault="00000000">
            <w:r>
              <w:rPr>
                <w:b/>
              </w:rPr>
              <w:t>6.227.251,97</w:t>
            </w:r>
          </w:p>
        </w:tc>
        <w:tc>
          <w:tcPr>
            <w:tcW w:w="669" w:type="pct"/>
            <w:vAlign w:val="center"/>
          </w:tcPr>
          <w:p w14:paraId="2BBE657B" w14:textId="77777777" w:rsidR="00161CC3" w:rsidRDefault="00000000">
            <w:r>
              <w:t> </w:t>
            </w:r>
          </w:p>
        </w:tc>
      </w:tr>
    </w:tbl>
    <w:p w14:paraId="5C3F923E" w14:textId="77777777" w:rsidR="00161CC3" w:rsidRDefault="00000000">
      <w:r>
        <w:t> </w:t>
      </w:r>
    </w:p>
    <w:p w14:paraId="0DDA2E71" w14:textId="77777777" w:rsidR="00161CC3" w:rsidRDefault="00161CC3"/>
    <w:p w14:paraId="06345755" w14:textId="77777777" w:rsidR="00161CC3" w:rsidRDefault="00000000">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2358B4C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0706C9"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59C1B9F"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DC6AFD"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017002" w14:textId="77777777" w:rsidR="00161CC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932DF8E" w14:textId="77777777" w:rsidR="00161CC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FB73AD4" w14:textId="77777777" w:rsidR="00161CC3" w:rsidRDefault="00000000">
            <w:pPr>
              <w:keepNext/>
              <w:keepLines/>
              <w:spacing w:after="0" w:line="240" w:lineRule="auto"/>
              <w:jc w:val="center"/>
            </w:pPr>
            <w:r>
              <w:rPr>
                <w:b/>
                <w:sz w:val="18"/>
              </w:rPr>
              <w:t>Indeks (%)</w:t>
            </w:r>
          </w:p>
        </w:tc>
      </w:tr>
      <w:tr w:rsidR="00161CC3" w14:paraId="5E79645F" w14:textId="77777777">
        <w:tblPrEx>
          <w:tblCellMar>
            <w:top w:w="0" w:type="dxa"/>
            <w:bottom w:w="0" w:type="dxa"/>
          </w:tblCellMar>
        </w:tblPrEx>
        <w:trPr>
          <w:cantSplit/>
          <w:trHeight w:val="560"/>
        </w:trPr>
        <w:tc>
          <w:tcPr>
            <w:tcW w:w="700" w:type="dxa"/>
            <w:tcMar>
              <w:top w:w="0" w:type="dxa"/>
              <w:bottom w:w="0" w:type="dxa"/>
            </w:tcMar>
            <w:vAlign w:val="center"/>
          </w:tcPr>
          <w:p w14:paraId="1D1B0C82" w14:textId="77777777" w:rsidR="00161CC3" w:rsidRDefault="00000000">
            <w:pPr>
              <w:keepNext/>
              <w:keepLines/>
              <w:spacing w:after="0" w:line="240" w:lineRule="auto"/>
            </w:pPr>
            <w:r>
              <w:rPr>
                <w:sz w:val="18"/>
              </w:rPr>
              <w:t>922</w:t>
            </w:r>
          </w:p>
        </w:tc>
        <w:tc>
          <w:tcPr>
            <w:tcW w:w="3180" w:type="dxa"/>
            <w:tcMar>
              <w:top w:w="0" w:type="dxa"/>
              <w:bottom w:w="0" w:type="dxa"/>
            </w:tcMar>
            <w:vAlign w:val="center"/>
          </w:tcPr>
          <w:p w14:paraId="31BB9A24" w14:textId="77777777" w:rsidR="00161CC3"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0515126D" w14:textId="77777777" w:rsidR="00161CC3" w:rsidRDefault="00000000">
            <w:pPr>
              <w:keepNext/>
              <w:keepLines/>
              <w:spacing w:after="0" w:line="240" w:lineRule="auto"/>
            </w:pPr>
            <w:r>
              <w:rPr>
                <w:sz w:val="18"/>
              </w:rPr>
              <w:t>922</w:t>
            </w:r>
          </w:p>
        </w:tc>
        <w:tc>
          <w:tcPr>
            <w:tcW w:w="1860" w:type="dxa"/>
            <w:tcMar>
              <w:top w:w="0" w:type="dxa"/>
              <w:bottom w:w="0" w:type="dxa"/>
            </w:tcMar>
            <w:vAlign w:val="center"/>
          </w:tcPr>
          <w:p w14:paraId="14708DAE" w14:textId="77777777" w:rsidR="00161CC3" w:rsidRDefault="00000000">
            <w:pPr>
              <w:keepNext/>
              <w:keepLines/>
              <w:spacing w:after="0" w:line="240" w:lineRule="auto"/>
              <w:jc w:val="right"/>
            </w:pPr>
            <w:r>
              <w:rPr>
                <w:sz w:val="18"/>
              </w:rPr>
              <w:t>797.179,26</w:t>
            </w:r>
          </w:p>
        </w:tc>
        <w:tc>
          <w:tcPr>
            <w:tcW w:w="1860" w:type="dxa"/>
            <w:tcMar>
              <w:top w:w="0" w:type="dxa"/>
              <w:bottom w:w="0" w:type="dxa"/>
            </w:tcMar>
            <w:vAlign w:val="center"/>
          </w:tcPr>
          <w:p w14:paraId="3CF81AE3" w14:textId="77777777" w:rsidR="00161CC3" w:rsidRDefault="00000000">
            <w:pPr>
              <w:keepNext/>
              <w:keepLines/>
              <w:spacing w:after="0" w:line="240" w:lineRule="auto"/>
              <w:jc w:val="right"/>
            </w:pPr>
            <w:r>
              <w:rPr>
                <w:sz w:val="18"/>
              </w:rPr>
              <w:t>865.583,09</w:t>
            </w:r>
          </w:p>
        </w:tc>
        <w:tc>
          <w:tcPr>
            <w:tcW w:w="700" w:type="dxa"/>
            <w:tcMar>
              <w:top w:w="0" w:type="dxa"/>
              <w:bottom w:w="0" w:type="dxa"/>
            </w:tcMar>
            <w:vAlign w:val="center"/>
          </w:tcPr>
          <w:p w14:paraId="152C45AB" w14:textId="77777777" w:rsidR="00161CC3" w:rsidRDefault="00000000">
            <w:pPr>
              <w:keepNext/>
              <w:keepLines/>
              <w:spacing w:after="0" w:line="240" w:lineRule="auto"/>
              <w:jc w:val="right"/>
            </w:pPr>
            <w:r>
              <w:rPr>
                <w:sz w:val="18"/>
              </w:rPr>
              <w:t>108,6</w:t>
            </w:r>
          </w:p>
        </w:tc>
      </w:tr>
    </w:tbl>
    <w:p w14:paraId="720C73A4" w14:textId="77777777" w:rsidR="00161CC3" w:rsidRDefault="00161CC3">
      <w:pPr>
        <w:spacing w:after="0"/>
      </w:pPr>
    </w:p>
    <w:p w14:paraId="62BD4054" w14:textId="77777777" w:rsidR="00161CC3" w:rsidRDefault="00000000">
      <w:r>
        <w:t>U izvještajnom razdoblju ostvaren je višak prihoda u iznosu od 865.583,09 eura, a proizlazi iz:</w:t>
      </w:r>
    </w:p>
    <w:p w14:paraId="1159CA22" w14:textId="77777777" w:rsidR="00161CC3" w:rsidRDefault="00000000">
      <w:r>
        <w:t>-          Višak prihoda poslovanja                                      2.640.915,85 eura</w:t>
      </w:r>
    </w:p>
    <w:p w14:paraId="3CAC383E" w14:textId="77777777" w:rsidR="00161CC3" w:rsidRDefault="00000000">
      <w:r>
        <w:t>-         Višak primitaka od financijske imovine                   893.057,88 eura</w:t>
      </w:r>
    </w:p>
    <w:p w14:paraId="35F67DB6" w14:textId="77777777" w:rsidR="00161CC3" w:rsidRDefault="00000000">
      <w:r>
        <w:t>-          Manjak prihoda od nefinancijske imovine           2.668.390,64 eura</w:t>
      </w:r>
    </w:p>
    <w:p w14:paraId="4C418B21" w14:textId="77777777" w:rsidR="00161CC3" w:rsidRDefault="00000000">
      <w:r>
        <w:lastRenderedPageBreak/>
        <w:t>Utvrđeni viškovi i manjkovi (ukupno preneseni i tekući) nastali su nakon izvršene propisane korekcije rezultata u iznosu od 610.793,14 eura i sastoje se od prenesenih viškova i manjkova te od rezultata tekuće godine. Vrijednosti po stavkama daju se u sljedećoj tabeli.</w:t>
      </w:r>
    </w:p>
    <w:tbl>
      <w:tblPr>
        <w:tblStyle w:val="Reetkatablice"/>
        <w:tblW w:w="5000" w:type="pct"/>
        <w:tblLook w:val="04A0" w:firstRow="1" w:lastRow="0" w:firstColumn="1" w:lastColumn="0" w:noHBand="0" w:noVBand="1"/>
      </w:tblPr>
      <w:tblGrid>
        <w:gridCol w:w="917"/>
        <w:gridCol w:w="1569"/>
        <w:gridCol w:w="1264"/>
        <w:gridCol w:w="1392"/>
        <w:gridCol w:w="1392"/>
        <w:gridCol w:w="1264"/>
        <w:gridCol w:w="1264"/>
      </w:tblGrid>
      <w:tr w:rsidR="00161CC3" w14:paraId="3983A6A5" w14:textId="77777777">
        <w:tc>
          <w:tcPr>
            <w:tcW w:w="625" w:type="pct"/>
            <w:vAlign w:val="center"/>
          </w:tcPr>
          <w:p w14:paraId="09834CEE" w14:textId="77777777" w:rsidR="00161CC3" w:rsidRDefault="00000000">
            <w:r>
              <w:t>RAČUN</w:t>
            </w:r>
          </w:p>
        </w:tc>
        <w:tc>
          <w:tcPr>
            <w:tcW w:w="559" w:type="pct"/>
            <w:vAlign w:val="center"/>
          </w:tcPr>
          <w:p w14:paraId="0D2AF512" w14:textId="77777777" w:rsidR="00161CC3" w:rsidRDefault="00000000">
            <w:r>
              <w:t>OPIS</w:t>
            </w:r>
          </w:p>
        </w:tc>
        <w:tc>
          <w:tcPr>
            <w:tcW w:w="388" w:type="pct"/>
            <w:vAlign w:val="center"/>
          </w:tcPr>
          <w:p w14:paraId="44086644" w14:textId="77777777" w:rsidR="00161CC3" w:rsidRDefault="00000000">
            <w:r>
              <w:t>01.01.2025.</w:t>
            </w:r>
          </w:p>
        </w:tc>
        <w:tc>
          <w:tcPr>
            <w:tcW w:w="781" w:type="pct"/>
            <w:vAlign w:val="center"/>
          </w:tcPr>
          <w:p w14:paraId="1148176C" w14:textId="77777777" w:rsidR="00161CC3" w:rsidRDefault="00000000">
            <w:r>
              <w:t>ODLUKA O RASPODJELI REZULTATA ZA 2024. I KOREKCIJA ZBOG IZVR. POVRATA</w:t>
            </w:r>
          </w:p>
        </w:tc>
        <w:tc>
          <w:tcPr>
            <w:tcW w:w="824" w:type="pct"/>
            <w:vAlign w:val="center"/>
          </w:tcPr>
          <w:p w14:paraId="15B7401C" w14:textId="77777777" w:rsidR="00161CC3" w:rsidRDefault="00000000">
            <w:r>
              <w:t>KOREKCIJA REZULTATA ZA 2025.</w:t>
            </w:r>
          </w:p>
        </w:tc>
        <w:tc>
          <w:tcPr>
            <w:tcW w:w="833" w:type="pct"/>
            <w:vAlign w:val="center"/>
          </w:tcPr>
          <w:p w14:paraId="32233CA7" w14:textId="77777777" w:rsidR="00161CC3" w:rsidRDefault="00000000">
            <w:r>
              <w:t>REZULTAT 2025. GODINE</w:t>
            </w:r>
          </w:p>
        </w:tc>
        <w:tc>
          <w:tcPr>
            <w:tcW w:w="986" w:type="pct"/>
            <w:vAlign w:val="center"/>
          </w:tcPr>
          <w:p w14:paraId="0CDA9B47" w14:textId="77777777" w:rsidR="00161CC3" w:rsidRDefault="00000000">
            <w:r>
              <w:t>31.12.2025.</w:t>
            </w:r>
          </w:p>
        </w:tc>
      </w:tr>
      <w:tr w:rsidR="00161CC3" w14:paraId="50EE0ACF" w14:textId="77777777">
        <w:tc>
          <w:tcPr>
            <w:tcW w:w="625" w:type="pct"/>
            <w:vAlign w:val="center"/>
          </w:tcPr>
          <w:p w14:paraId="0A9CD618" w14:textId="77777777" w:rsidR="00161CC3" w:rsidRDefault="00000000">
            <w:r>
              <w:t>922110</w:t>
            </w:r>
          </w:p>
        </w:tc>
        <w:tc>
          <w:tcPr>
            <w:tcW w:w="559" w:type="pct"/>
            <w:vAlign w:val="center"/>
          </w:tcPr>
          <w:p w14:paraId="3DCE1B81" w14:textId="77777777" w:rsidR="00161CC3" w:rsidRDefault="00000000">
            <w:r>
              <w:t>Višak prihoda poslovanja</w:t>
            </w:r>
          </w:p>
        </w:tc>
        <w:tc>
          <w:tcPr>
            <w:tcW w:w="388" w:type="pct"/>
            <w:vAlign w:val="center"/>
          </w:tcPr>
          <w:p w14:paraId="2701F3F7" w14:textId="77777777" w:rsidR="00161CC3" w:rsidRDefault="00000000">
            <w:r>
              <w:t>3.361.324,83</w:t>
            </w:r>
          </w:p>
        </w:tc>
        <w:tc>
          <w:tcPr>
            <w:tcW w:w="781" w:type="pct"/>
            <w:vAlign w:val="center"/>
          </w:tcPr>
          <w:p w14:paraId="10F904E1" w14:textId="77777777" w:rsidR="00161CC3" w:rsidRDefault="00000000">
            <w:r>
              <w:t>-2.507.275,92</w:t>
            </w:r>
          </w:p>
        </w:tc>
        <w:tc>
          <w:tcPr>
            <w:tcW w:w="824" w:type="pct"/>
            <w:vAlign w:val="center"/>
          </w:tcPr>
          <w:p w14:paraId="3C3CDD6B" w14:textId="77777777" w:rsidR="00161CC3" w:rsidRDefault="00000000">
            <w:r>
              <w:t>-199.352,43</w:t>
            </w:r>
          </w:p>
        </w:tc>
        <w:tc>
          <w:tcPr>
            <w:tcW w:w="833" w:type="pct"/>
            <w:vAlign w:val="center"/>
          </w:tcPr>
          <w:p w14:paraId="060715C3" w14:textId="77777777" w:rsidR="00161CC3" w:rsidRDefault="00000000">
            <w:r>
              <w:t>1.986.219,37</w:t>
            </w:r>
          </w:p>
        </w:tc>
        <w:tc>
          <w:tcPr>
            <w:tcW w:w="986" w:type="pct"/>
            <w:vAlign w:val="center"/>
          </w:tcPr>
          <w:p w14:paraId="58DA7CAE" w14:textId="77777777" w:rsidR="00161CC3" w:rsidRDefault="00000000">
            <w:r>
              <w:t>2.640.915,85</w:t>
            </w:r>
          </w:p>
        </w:tc>
      </w:tr>
      <w:tr w:rsidR="00161CC3" w14:paraId="42A38594" w14:textId="77777777">
        <w:tc>
          <w:tcPr>
            <w:tcW w:w="625" w:type="pct"/>
            <w:vAlign w:val="center"/>
          </w:tcPr>
          <w:p w14:paraId="57217ABE" w14:textId="77777777" w:rsidR="00161CC3" w:rsidRDefault="00000000">
            <w:r>
              <w:t>922230</w:t>
            </w:r>
          </w:p>
        </w:tc>
        <w:tc>
          <w:tcPr>
            <w:tcW w:w="559" w:type="pct"/>
            <w:vAlign w:val="center"/>
          </w:tcPr>
          <w:p w14:paraId="3A6EB92B" w14:textId="77777777" w:rsidR="00161CC3" w:rsidRDefault="00000000">
            <w:r>
              <w:t>Manjak primitaka od financijske imovine</w:t>
            </w:r>
          </w:p>
        </w:tc>
        <w:tc>
          <w:tcPr>
            <w:tcW w:w="388" w:type="pct"/>
            <w:vAlign w:val="center"/>
          </w:tcPr>
          <w:p w14:paraId="44C280E9" w14:textId="77777777" w:rsidR="00161CC3" w:rsidRDefault="00000000">
            <w:r>
              <w:t>516.522,94</w:t>
            </w:r>
          </w:p>
        </w:tc>
        <w:tc>
          <w:tcPr>
            <w:tcW w:w="781" w:type="pct"/>
            <w:vAlign w:val="center"/>
          </w:tcPr>
          <w:p w14:paraId="74D83FC3" w14:textId="77777777" w:rsidR="00161CC3" w:rsidRDefault="00000000">
            <w:r>
              <w:t>-516.522,94</w:t>
            </w:r>
          </w:p>
        </w:tc>
        <w:tc>
          <w:tcPr>
            <w:tcW w:w="824" w:type="pct"/>
            <w:vAlign w:val="center"/>
          </w:tcPr>
          <w:p w14:paraId="271302DE" w14:textId="77777777" w:rsidR="00161CC3" w:rsidRDefault="00000000">
            <w:r>
              <w:t>0,00</w:t>
            </w:r>
          </w:p>
        </w:tc>
        <w:tc>
          <w:tcPr>
            <w:tcW w:w="833" w:type="pct"/>
            <w:vAlign w:val="center"/>
          </w:tcPr>
          <w:p w14:paraId="1F61CF33" w14:textId="77777777" w:rsidR="00161CC3" w:rsidRDefault="00000000">
            <w:r>
              <w:t>0,00</w:t>
            </w:r>
          </w:p>
        </w:tc>
        <w:tc>
          <w:tcPr>
            <w:tcW w:w="986" w:type="pct"/>
            <w:vAlign w:val="center"/>
          </w:tcPr>
          <w:p w14:paraId="0656951F" w14:textId="77777777" w:rsidR="00161CC3" w:rsidRDefault="00000000">
            <w:r>
              <w:t>0,00</w:t>
            </w:r>
          </w:p>
        </w:tc>
      </w:tr>
      <w:tr w:rsidR="00161CC3" w14:paraId="11DE4F16" w14:textId="77777777">
        <w:tc>
          <w:tcPr>
            <w:tcW w:w="625" w:type="pct"/>
            <w:vAlign w:val="center"/>
          </w:tcPr>
          <w:p w14:paraId="164844E7" w14:textId="77777777" w:rsidR="00161CC3" w:rsidRDefault="00000000">
            <w:r>
              <w:t>922130</w:t>
            </w:r>
          </w:p>
        </w:tc>
        <w:tc>
          <w:tcPr>
            <w:tcW w:w="559" w:type="pct"/>
            <w:vAlign w:val="center"/>
          </w:tcPr>
          <w:p w14:paraId="6D8805FE" w14:textId="77777777" w:rsidR="00161CC3" w:rsidRDefault="00000000">
            <w:r>
              <w:t>Višak primitaka od financijske imovine</w:t>
            </w:r>
          </w:p>
        </w:tc>
        <w:tc>
          <w:tcPr>
            <w:tcW w:w="388" w:type="pct"/>
            <w:vAlign w:val="center"/>
          </w:tcPr>
          <w:p w14:paraId="165AC455" w14:textId="77777777" w:rsidR="00161CC3" w:rsidRDefault="00000000">
            <w:r>
              <w:t>0,00</w:t>
            </w:r>
          </w:p>
        </w:tc>
        <w:tc>
          <w:tcPr>
            <w:tcW w:w="781" w:type="pct"/>
            <w:vAlign w:val="center"/>
          </w:tcPr>
          <w:p w14:paraId="332AA973" w14:textId="77777777" w:rsidR="00161CC3" w:rsidRDefault="00000000">
            <w:r>
              <w:t>0,00</w:t>
            </w:r>
          </w:p>
        </w:tc>
        <w:tc>
          <w:tcPr>
            <w:tcW w:w="824" w:type="pct"/>
            <w:vAlign w:val="center"/>
          </w:tcPr>
          <w:p w14:paraId="06B37FF1" w14:textId="77777777" w:rsidR="00161CC3" w:rsidRDefault="00000000">
            <w:r>
              <w:t>0,00</w:t>
            </w:r>
          </w:p>
        </w:tc>
        <w:tc>
          <w:tcPr>
            <w:tcW w:w="833" w:type="pct"/>
            <w:vAlign w:val="center"/>
          </w:tcPr>
          <w:p w14:paraId="2F3FE7E4" w14:textId="77777777" w:rsidR="00161CC3" w:rsidRDefault="00000000">
            <w:r>
              <w:t>893.057,88</w:t>
            </w:r>
          </w:p>
        </w:tc>
        <w:tc>
          <w:tcPr>
            <w:tcW w:w="986" w:type="pct"/>
            <w:vAlign w:val="center"/>
          </w:tcPr>
          <w:p w14:paraId="41AFD72A" w14:textId="77777777" w:rsidR="00161CC3" w:rsidRDefault="00000000">
            <w:r>
              <w:t>893.057,88</w:t>
            </w:r>
          </w:p>
        </w:tc>
      </w:tr>
      <w:tr w:rsidR="00161CC3" w14:paraId="092AB3B7" w14:textId="77777777">
        <w:tc>
          <w:tcPr>
            <w:tcW w:w="625" w:type="pct"/>
            <w:vAlign w:val="center"/>
          </w:tcPr>
          <w:p w14:paraId="188CB6E4" w14:textId="77777777" w:rsidR="00161CC3" w:rsidRDefault="00000000">
            <w:r>
              <w:t>922220</w:t>
            </w:r>
          </w:p>
        </w:tc>
        <w:tc>
          <w:tcPr>
            <w:tcW w:w="559" w:type="pct"/>
            <w:vAlign w:val="center"/>
          </w:tcPr>
          <w:p w14:paraId="69510FA2" w14:textId="77777777" w:rsidR="00161CC3" w:rsidRDefault="00000000">
            <w:r>
              <w:t>Manjak prihoda od nefinancijske imovine</w:t>
            </w:r>
          </w:p>
        </w:tc>
        <w:tc>
          <w:tcPr>
            <w:tcW w:w="388" w:type="pct"/>
            <w:vAlign w:val="center"/>
          </w:tcPr>
          <w:p w14:paraId="65D1ACA4" w14:textId="77777777" w:rsidR="00161CC3" w:rsidRDefault="00000000">
            <w:r>
              <w:t>2.047.622,63</w:t>
            </w:r>
          </w:p>
        </w:tc>
        <w:tc>
          <w:tcPr>
            <w:tcW w:w="781" w:type="pct"/>
            <w:vAlign w:val="center"/>
          </w:tcPr>
          <w:p w14:paraId="37D8F3E8" w14:textId="77777777" w:rsidR="00161CC3" w:rsidRDefault="00000000">
            <w:r>
              <w:t>-1.989.330,08</w:t>
            </w:r>
          </w:p>
        </w:tc>
        <w:tc>
          <w:tcPr>
            <w:tcW w:w="824" w:type="pct"/>
            <w:vAlign w:val="center"/>
          </w:tcPr>
          <w:p w14:paraId="1911ED71" w14:textId="77777777" w:rsidR="00161CC3" w:rsidRDefault="00000000">
            <w:r>
              <w:t>-199.352,43</w:t>
            </w:r>
          </w:p>
        </w:tc>
        <w:tc>
          <w:tcPr>
            <w:tcW w:w="833" w:type="pct"/>
            <w:vAlign w:val="center"/>
          </w:tcPr>
          <w:p w14:paraId="5FCEB994" w14:textId="77777777" w:rsidR="00161CC3" w:rsidRDefault="00000000">
            <w:r>
              <w:t>2.809.450,92</w:t>
            </w:r>
          </w:p>
        </w:tc>
        <w:tc>
          <w:tcPr>
            <w:tcW w:w="986" w:type="pct"/>
            <w:vAlign w:val="center"/>
          </w:tcPr>
          <w:p w14:paraId="18B23F14" w14:textId="77777777" w:rsidR="00161CC3" w:rsidRDefault="00000000">
            <w:r>
              <w:t>2.668.390,64</w:t>
            </w:r>
          </w:p>
        </w:tc>
      </w:tr>
      <w:tr w:rsidR="00161CC3" w14:paraId="44883738" w14:textId="77777777">
        <w:tc>
          <w:tcPr>
            <w:tcW w:w="625" w:type="pct"/>
            <w:vAlign w:val="center"/>
          </w:tcPr>
          <w:p w14:paraId="463D37F7" w14:textId="77777777" w:rsidR="00161CC3" w:rsidRDefault="00000000">
            <w:r>
              <w:rPr>
                <w:b/>
              </w:rPr>
              <w:t>92</w:t>
            </w:r>
          </w:p>
        </w:tc>
        <w:tc>
          <w:tcPr>
            <w:tcW w:w="559" w:type="pct"/>
            <w:vAlign w:val="center"/>
          </w:tcPr>
          <w:p w14:paraId="3598D952" w14:textId="77777777" w:rsidR="00161CC3" w:rsidRDefault="00000000">
            <w:r>
              <w:rPr>
                <w:b/>
              </w:rPr>
              <w:t>REZULTAT POSLOVANJA</w:t>
            </w:r>
          </w:p>
        </w:tc>
        <w:tc>
          <w:tcPr>
            <w:tcW w:w="388" w:type="pct"/>
            <w:vAlign w:val="center"/>
          </w:tcPr>
          <w:p w14:paraId="43D5E96B" w14:textId="77777777" w:rsidR="00161CC3" w:rsidRDefault="00000000">
            <w:r>
              <w:rPr>
                <w:b/>
              </w:rPr>
              <w:t>797.179,26</w:t>
            </w:r>
          </w:p>
        </w:tc>
        <w:tc>
          <w:tcPr>
            <w:tcW w:w="781" w:type="pct"/>
            <w:vAlign w:val="center"/>
          </w:tcPr>
          <w:p w14:paraId="0068846B" w14:textId="77777777" w:rsidR="00161CC3" w:rsidRDefault="00000000">
            <w:r>
              <w:rPr>
                <w:b/>
              </w:rPr>
              <w:t>-1.422,90</w:t>
            </w:r>
          </w:p>
        </w:tc>
        <w:tc>
          <w:tcPr>
            <w:tcW w:w="824" w:type="pct"/>
            <w:vAlign w:val="center"/>
          </w:tcPr>
          <w:p w14:paraId="44ACA87B" w14:textId="77777777" w:rsidR="00161CC3" w:rsidRDefault="00000000">
            <w:r>
              <w:t>0,00</w:t>
            </w:r>
          </w:p>
        </w:tc>
        <w:tc>
          <w:tcPr>
            <w:tcW w:w="833" w:type="pct"/>
            <w:vAlign w:val="center"/>
          </w:tcPr>
          <w:p w14:paraId="2EC84596" w14:textId="77777777" w:rsidR="00161CC3" w:rsidRDefault="00000000">
            <w:r>
              <w:rPr>
                <w:b/>
              </w:rPr>
              <w:t>69.826,73</w:t>
            </w:r>
          </w:p>
        </w:tc>
        <w:tc>
          <w:tcPr>
            <w:tcW w:w="986" w:type="pct"/>
            <w:vAlign w:val="center"/>
          </w:tcPr>
          <w:p w14:paraId="5422579E" w14:textId="77777777" w:rsidR="00161CC3" w:rsidRDefault="00000000">
            <w:r>
              <w:rPr>
                <w:b/>
              </w:rPr>
              <w:t>865.583,09</w:t>
            </w:r>
          </w:p>
        </w:tc>
      </w:tr>
    </w:tbl>
    <w:p w14:paraId="38BB2B9F" w14:textId="77777777" w:rsidR="00161CC3" w:rsidRDefault="00000000">
      <w:r>
        <w:t>Odlukom o raspodjeli rezultata poslovanja za 2024. godinu korigirali smo viškove i manjkove po izvorima financiranja i sukladno njihovim namjenama. Rezultat početnog stanja smanjio se za 1.422,90 eura, a ta razlika je nastala zbog povrata komunalnog doprinosa, sredstava projekta i dobivena sredstva duplo plaćenog računa.</w:t>
      </w:r>
    </w:p>
    <w:p w14:paraId="7F854927" w14:textId="77777777" w:rsidR="00161CC3" w:rsidRDefault="00161CC3"/>
    <w:p w14:paraId="37544791" w14:textId="77777777" w:rsidR="00161CC3" w:rsidRDefault="00000000">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005D767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74A5CD1"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D7A148"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531B72"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50F1E0" w14:textId="77777777" w:rsidR="00161CC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45C1C2E" w14:textId="77777777" w:rsidR="00161CC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CB1E9A6" w14:textId="77777777" w:rsidR="00161CC3" w:rsidRDefault="00000000">
            <w:pPr>
              <w:keepNext/>
              <w:keepLines/>
              <w:spacing w:after="0" w:line="240" w:lineRule="auto"/>
              <w:jc w:val="center"/>
            </w:pPr>
            <w:r>
              <w:rPr>
                <w:b/>
                <w:sz w:val="18"/>
              </w:rPr>
              <w:t>Indeks (%)</w:t>
            </w:r>
          </w:p>
        </w:tc>
      </w:tr>
      <w:tr w:rsidR="00161CC3" w14:paraId="504B97AD" w14:textId="77777777">
        <w:tblPrEx>
          <w:tblCellMar>
            <w:top w:w="0" w:type="dxa"/>
            <w:bottom w:w="0" w:type="dxa"/>
          </w:tblCellMar>
        </w:tblPrEx>
        <w:trPr>
          <w:cantSplit/>
          <w:trHeight w:val="560"/>
        </w:trPr>
        <w:tc>
          <w:tcPr>
            <w:tcW w:w="700" w:type="dxa"/>
            <w:tcMar>
              <w:top w:w="0" w:type="dxa"/>
              <w:bottom w:w="0" w:type="dxa"/>
            </w:tcMar>
            <w:vAlign w:val="center"/>
          </w:tcPr>
          <w:p w14:paraId="1C95D80C" w14:textId="77777777" w:rsidR="00161CC3" w:rsidRDefault="00000000">
            <w:pPr>
              <w:keepNext/>
              <w:keepLines/>
              <w:spacing w:after="0" w:line="240" w:lineRule="auto"/>
            </w:pPr>
            <w:r>
              <w:rPr>
                <w:sz w:val="18"/>
              </w:rPr>
              <w:t>991</w:t>
            </w:r>
          </w:p>
        </w:tc>
        <w:tc>
          <w:tcPr>
            <w:tcW w:w="3180" w:type="dxa"/>
            <w:tcMar>
              <w:top w:w="0" w:type="dxa"/>
              <w:bottom w:w="0" w:type="dxa"/>
            </w:tcMar>
            <w:vAlign w:val="center"/>
          </w:tcPr>
          <w:p w14:paraId="3B8DF5AA" w14:textId="77777777" w:rsidR="00161CC3" w:rsidRDefault="00000000">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14:paraId="5016508D" w14:textId="77777777" w:rsidR="00161CC3" w:rsidRDefault="00000000">
            <w:pPr>
              <w:keepNext/>
              <w:keepLines/>
              <w:spacing w:after="0" w:line="240" w:lineRule="auto"/>
            </w:pPr>
            <w:r>
              <w:rPr>
                <w:sz w:val="18"/>
              </w:rPr>
              <w:t>991</w:t>
            </w:r>
          </w:p>
        </w:tc>
        <w:tc>
          <w:tcPr>
            <w:tcW w:w="1860" w:type="dxa"/>
            <w:tcMar>
              <w:top w:w="0" w:type="dxa"/>
              <w:bottom w:w="0" w:type="dxa"/>
            </w:tcMar>
            <w:vAlign w:val="center"/>
          </w:tcPr>
          <w:p w14:paraId="031D0A3E" w14:textId="77777777" w:rsidR="00161CC3" w:rsidRDefault="00000000">
            <w:pPr>
              <w:keepNext/>
              <w:keepLines/>
              <w:spacing w:after="0" w:line="240" w:lineRule="auto"/>
              <w:jc w:val="right"/>
            </w:pPr>
            <w:r>
              <w:rPr>
                <w:sz w:val="18"/>
              </w:rPr>
              <w:t>2.251.323,50</w:t>
            </w:r>
          </w:p>
        </w:tc>
        <w:tc>
          <w:tcPr>
            <w:tcW w:w="1860" w:type="dxa"/>
            <w:tcMar>
              <w:top w:w="0" w:type="dxa"/>
              <w:bottom w:w="0" w:type="dxa"/>
            </w:tcMar>
            <w:vAlign w:val="center"/>
          </w:tcPr>
          <w:p w14:paraId="0C1E97E9" w14:textId="77777777" w:rsidR="00161CC3" w:rsidRDefault="00000000">
            <w:pPr>
              <w:keepNext/>
              <w:keepLines/>
              <w:spacing w:after="0" w:line="240" w:lineRule="auto"/>
              <w:jc w:val="right"/>
            </w:pPr>
            <w:r>
              <w:rPr>
                <w:sz w:val="18"/>
              </w:rPr>
              <w:t>16.587.298,50</w:t>
            </w:r>
          </w:p>
        </w:tc>
        <w:tc>
          <w:tcPr>
            <w:tcW w:w="700" w:type="dxa"/>
            <w:tcMar>
              <w:top w:w="0" w:type="dxa"/>
              <w:bottom w:w="0" w:type="dxa"/>
            </w:tcMar>
            <w:vAlign w:val="center"/>
          </w:tcPr>
          <w:p w14:paraId="0CB67FA5" w14:textId="77777777" w:rsidR="00161CC3" w:rsidRDefault="00000000">
            <w:pPr>
              <w:keepNext/>
              <w:keepLines/>
              <w:spacing w:after="0" w:line="240" w:lineRule="auto"/>
              <w:jc w:val="right"/>
            </w:pPr>
            <w:r>
              <w:rPr>
                <w:sz w:val="18"/>
              </w:rPr>
              <w:t>736,8</w:t>
            </w:r>
          </w:p>
        </w:tc>
      </w:tr>
    </w:tbl>
    <w:p w14:paraId="7F06A203" w14:textId="77777777" w:rsidR="00161CC3" w:rsidRDefault="00161CC3">
      <w:pPr>
        <w:spacing w:after="0"/>
      </w:pPr>
    </w:p>
    <w:p w14:paraId="3C82420E" w14:textId="77777777" w:rsidR="00161CC3" w:rsidRDefault="00000000">
      <w:r>
        <w:t>Grad Labin u izvan bilančnoj evidenciji ima iskazano sljedeće vrijednosti u </w:t>
      </w:r>
    </w:p>
    <w:p w14:paraId="6C2CDB64" w14:textId="77777777" w:rsidR="00161CC3" w:rsidRDefault="00000000">
      <w:r>
        <w:t> eurima:</w:t>
      </w:r>
    </w:p>
    <w:p w14:paraId="0FE97009" w14:textId="77777777" w:rsidR="00161CC3" w:rsidRDefault="00000000">
      <w:r>
        <w:lastRenderedPageBreak/>
        <w:t>Tuđa imovina dobivena na korištenje -  5.238,13</w:t>
      </w:r>
      <w:r>
        <w:br/>
        <w:t>Potencijalne obveze po danim jamstvima – 1.446.352,76</w:t>
      </w:r>
      <w:r>
        <w:br/>
        <w:t>Instrumenti osiguranja plaćanja – 13.239.417,47</w:t>
      </w:r>
      <w:r>
        <w:br/>
        <w:t xml:space="preserve">Potraživanja po ugovorima o dodijeljenim </w:t>
      </w:r>
      <w:proofErr w:type="spellStart"/>
      <w:r>
        <w:t>bespovr</w:t>
      </w:r>
      <w:proofErr w:type="spellEnd"/>
      <w:r>
        <w:t xml:space="preserve">. </w:t>
      </w:r>
      <w:proofErr w:type="spellStart"/>
      <w:r>
        <w:t>Sredst</w:t>
      </w:r>
      <w:proofErr w:type="spellEnd"/>
      <w:r>
        <w:t>. Iz EU fondova – 1.534.338,30</w:t>
      </w:r>
      <w:r>
        <w:br/>
        <w:t xml:space="preserve">Ostali </w:t>
      </w:r>
      <w:proofErr w:type="spellStart"/>
      <w:r>
        <w:t>izvanbilančani</w:t>
      </w:r>
      <w:proofErr w:type="spellEnd"/>
      <w:r>
        <w:t xml:space="preserve"> zapisi – 361.951,84</w:t>
      </w:r>
    </w:p>
    <w:p w14:paraId="097BC18B" w14:textId="77777777" w:rsidR="00161CC3" w:rsidRDefault="00000000">
      <w:r>
        <w:t>                                                                                                                                   </w:t>
      </w:r>
      <w:r>
        <w:br/>
      </w:r>
      <w:r>
        <w:br/>
        <w:t> </w:t>
      </w:r>
      <w:r>
        <w:br/>
        <w:t> </w:t>
      </w:r>
      <w:r>
        <w:br/>
        <w:t> </w:t>
      </w:r>
    </w:p>
    <w:p w14:paraId="6BBCB4C8" w14:textId="77777777" w:rsidR="00161CC3" w:rsidRDefault="00000000">
      <w:r>
        <w:t> </w:t>
      </w:r>
    </w:p>
    <w:p w14:paraId="41703AD7" w14:textId="77777777" w:rsidR="00161CC3" w:rsidRDefault="00161CC3"/>
    <w:p w14:paraId="098E3063" w14:textId="77777777" w:rsidR="00161CC3" w:rsidRDefault="00000000">
      <w:pPr>
        <w:keepNext/>
        <w:spacing w:line="240" w:lineRule="auto"/>
        <w:jc w:val="center"/>
      </w:pPr>
      <w:r>
        <w:rPr>
          <w:b/>
          <w:sz w:val="28"/>
        </w:rPr>
        <w:t>Izvještaj o rashodima prema funkcijskoj klasifikaciji</w:t>
      </w:r>
    </w:p>
    <w:p w14:paraId="2EE2F71F" w14:textId="77777777" w:rsidR="00161CC3" w:rsidRDefault="00000000">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7825720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2F19BB"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FB00FD"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61AC86"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245683"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17C484"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DAEF91" w14:textId="77777777" w:rsidR="00161CC3" w:rsidRDefault="00000000">
            <w:pPr>
              <w:keepNext/>
              <w:keepLines/>
              <w:spacing w:after="0" w:line="240" w:lineRule="auto"/>
              <w:jc w:val="center"/>
            </w:pPr>
            <w:r>
              <w:rPr>
                <w:b/>
                <w:sz w:val="18"/>
              </w:rPr>
              <w:t>Indeks (%)</w:t>
            </w:r>
          </w:p>
        </w:tc>
      </w:tr>
      <w:tr w:rsidR="00161CC3" w14:paraId="43527E48" w14:textId="77777777">
        <w:tblPrEx>
          <w:tblCellMar>
            <w:top w:w="0" w:type="dxa"/>
            <w:bottom w:w="0" w:type="dxa"/>
          </w:tblCellMar>
        </w:tblPrEx>
        <w:trPr>
          <w:cantSplit/>
          <w:trHeight w:val="560"/>
        </w:trPr>
        <w:tc>
          <w:tcPr>
            <w:tcW w:w="700" w:type="dxa"/>
            <w:tcMar>
              <w:top w:w="0" w:type="dxa"/>
              <w:bottom w:w="0" w:type="dxa"/>
            </w:tcMar>
            <w:vAlign w:val="center"/>
          </w:tcPr>
          <w:p w14:paraId="4F937285" w14:textId="77777777" w:rsidR="00161CC3" w:rsidRDefault="00000000">
            <w:pPr>
              <w:keepNext/>
              <w:keepLines/>
              <w:spacing w:after="0" w:line="240" w:lineRule="auto"/>
            </w:pPr>
            <w:r>
              <w:rPr>
                <w:sz w:val="18"/>
              </w:rPr>
              <w:t>011</w:t>
            </w:r>
          </w:p>
        </w:tc>
        <w:tc>
          <w:tcPr>
            <w:tcW w:w="3180" w:type="dxa"/>
            <w:tcMar>
              <w:top w:w="0" w:type="dxa"/>
              <w:bottom w:w="0" w:type="dxa"/>
            </w:tcMar>
            <w:vAlign w:val="center"/>
          </w:tcPr>
          <w:p w14:paraId="669D305B" w14:textId="77777777" w:rsidR="00161CC3" w:rsidRDefault="00000000">
            <w:pPr>
              <w:keepNext/>
              <w:keepLines/>
              <w:spacing w:after="0" w:line="240" w:lineRule="auto"/>
            </w:pPr>
            <w:r>
              <w:rPr>
                <w:sz w:val="18"/>
              </w:rPr>
              <w:t>Izvršna i zakonodavna tijela, financijski i fiskalni poslovi, vanjski poslovi (šifre 0111 do 0113)</w:t>
            </w:r>
          </w:p>
        </w:tc>
        <w:tc>
          <w:tcPr>
            <w:tcW w:w="700" w:type="dxa"/>
            <w:tcMar>
              <w:top w:w="0" w:type="dxa"/>
              <w:bottom w:w="0" w:type="dxa"/>
            </w:tcMar>
            <w:vAlign w:val="center"/>
          </w:tcPr>
          <w:p w14:paraId="3754FD4F" w14:textId="77777777" w:rsidR="00161CC3" w:rsidRDefault="00000000">
            <w:pPr>
              <w:keepNext/>
              <w:keepLines/>
              <w:spacing w:after="0" w:line="240" w:lineRule="auto"/>
            </w:pPr>
            <w:r>
              <w:rPr>
                <w:sz w:val="18"/>
              </w:rPr>
              <w:t>011</w:t>
            </w:r>
          </w:p>
        </w:tc>
        <w:tc>
          <w:tcPr>
            <w:tcW w:w="1860" w:type="dxa"/>
            <w:tcMar>
              <w:top w:w="0" w:type="dxa"/>
              <w:bottom w:w="0" w:type="dxa"/>
            </w:tcMar>
            <w:vAlign w:val="center"/>
          </w:tcPr>
          <w:p w14:paraId="528688E7" w14:textId="77777777" w:rsidR="00161CC3" w:rsidRDefault="00000000">
            <w:pPr>
              <w:keepNext/>
              <w:keepLines/>
              <w:spacing w:after="0" w:line="240" w:lineRule="auto"/>
              <w:jc w:val="right"/>
            </w:pPr>
            <w:r>
              <w:rPr>
                <w:sz w:val="18"/>
              </w:rPr>
              <w:t>1.585.331,66</w:t>
            </w:r>
          </w:p>
        </w:tc>
        <w:tc>
          <w:tcPr>
            <w:tcW w:w="1860" w:type="dxa"/>
            <w:tcMar>
              <w:top w:w="0" w:type="dxa"/>
              <w:bottom w:w="0" w:type="dxa"/>
            </w:tcMar>
            <w:vAlign w:val="center"/>
          </w:tcPr>
          <w:p w14:paraId="0E3EF185" w14:textId="77777777" w:rsidR="00161CC3" w:rsidRDefault="00000000">
            <w:pPr>
              <w:keepNext/>
              <w:keepLines/>
              <w:spacing w:after="0" w:line="240" w:lineRule="auto"/>
              <w:jc w:val="right"/>
            </w:pPr>
            <w:r>
              <w:rPr>
                <w:sz w:val="18"/>
              </w:rPr>
              <w:t>1.925.082,80</w:t>
            </w:r>
          </w:p>
        </w:tc>
        <w:tc>
          <w:tcPr>
            <w:tcW w:w="700" w:type="dxa"/>
            <w:tcMar>
              <w:top w:w="0" w:type="dxa"/>
              <w:bottom w:w="0" w:type="dxa"/>
            </w:tcMar>
            <w:vAlign w:val="center"/>
          </w:tcPr>
          <w:p w14:paraId="1FC42880" w14:textId="77777777" w:rsidR="00161CC3" w:rsidRDefault="00000000">
            <w:pPr>
              <w:keepNext/>
              <w:keepLines/>
              <w:spacing w:after="0" w:line="240" w:lineRule="auto"/>
              <w:jc w:val="right"/>
            </w:pPr>
            <w:r>
              <w:rPr>
                <w:sz w:val="18"/>
              </w:rPr>
              <w:t>121,4</w:t>
            </w:r>
          </w:p>
        </w:tc>
      </w:tr>
    </w:tbl>
    <w:p w14:paraId="4EC36A72" w14:textId="77777777" w:rsidR="00161CC3" w:rsidRDefault="00161CC3">
      <w:pPr>
        <w:spacing w:after="0"/>
      </w:pPr>
    </w:p>
    <w:p w14:paraId="39D76C89" w14:textId="77777777" w:rsidR="00161CC3" w:rsidRDefault="00000000">
      <w:r>
        <w:t>Povećanje od 21,4% u odnosu na prethodnu godinu najvećim dijelom odnosi se na ostale financijske rashode i rashode za plaće.</w:t>
      </w:r>
    </w:p>
    <w:p w14:paraId="186B846F" w14:textId="77777777" w:rsidR="00161CC3" w:rsidRDefault="00161CC3"/>
    <w:p w14:paraId="6FC466CB" w14:textId="77777777" w:rsidR="00161CC3" w:rsidRDefault="00000000">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14692A5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A87D18"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6D3EB98"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01F2F2"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D207C1"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8048C9"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752068" w14:textId="77777777" w:rsidR="00161CC3" w:rsidRDefault="00000000">
            <w:pPr>
              <w:keepNext/>
              <w:keepLines/>
              <w:spacing w:after="0" w:line="240" w:lineRule="auto"/>
              <w:jc w:val="center"/>
            </w:pPr>
            <w:r>
              <w:rPr>
                <w:b/>
                <w:sz w:val="18"/>
              </w:rPr>
              <w:t>Indeks (%)</w:t>
            </w:r>
          </w:p>
        </w:tc>
      </w:tr>
      <w:tr w:rsidR="00161CC3" w14:paraId="6908FC33" w14:textId="77777777">
        <w:tblPrEx>
          <w:tblCellMar>
            <w:top w:w="0" w:type="dxa"/>
            <w:bottom w:w="0" w:type="dxa"/>
          </w:tblCellMar>
        </w:tblPrEx>
        <w:trPr>
          <w:cantSplit/>
          <w:trHeight w:val="560"/>
        </w:trPr>
        <w:tc>
          <w:tcPr>
            <w:tcW w:w="700" w:type="dxa"/>
            <w:tcMar>
              <w:top w:w="0" w:type="dxa"/>
              <w:bottom w:w="0" w:type="dxa"/>
            </w:tcMar>
            <w:vAlign w:val="center"/>
          </w:tcPr>
          <w:p w14:paraId="218B4A44" w14:textId="77777777" w:rsidR="00161CC3" w:rsidRDefault="00000000">
            <w:pPr>
              <w:keepNext/>
              <w:keepLines/>
              <w:spacing w:after="0" w:line="240" w:lineRule="auto"/>
            </w:pPr>
            <w:r>
              <w:rPr>
                <w:sz w:val="18"/>
              </w:rPr>
              <w:t>013</w:t>
            </w:r>
          </w:p>
        </w:tc>
        <w:tc>
          <w:tcPr>
            <w:tcW w:w="3180" w:type="dxa"/>
            <w:tcMar>
              <w:top w:w="0" w:type="dxa"/>
              <w:bottom w:w="0" w:type="dxa"/>
            </w:tcMar>
            <w:vAlign w:val="center"/>
          </w:tcPr>
          <w:p w14:paraId="77ACDEAD" w14:textId="77777777" w:rsidR="00161CC3" w:rsidRDefault="00000000">
            <w:pPr>
              <w:keepNext/>
              <w:keepLines/>
              <w:spacing w:after="0" w:line="240" w:lineRule="auto"/>
            </w:pPr>
            <w:r>
              <w:rPr>
                <w:sz w:val="18"/>
              </w:rPr>
              <w:t>Opće usluge (šifre 0131 do 0133)</w:t>
            </w:r>
          </w:p>
        </w:tc>
        <w:tc>
          <w:tcPr>
            <w:tcW w:w="700" w:type="dxa"/>
            <w:tcMar>
              <w:top w:w="0" w:type="dxa"/>
              <w:bottom w:w="0" w:type="dxa"/>
            </w:tcMar>
            <w:vAlign w:val="center"/>
          </w:tcPr>
          <w:p w14:paraId="3DE79A18" w14:textId="77777777" w:rsidR="00161CC3" w:rsidRDefault="00000000">
            <w:pPr>
              <w:keepNext/>
              <w:keepLines/>
              <w:spacing w:after="0" w:line="240" w:lineRule="auto"/>
            </w:pPr>
            <w:r>
              <w:rPr>
                <w:sz w:val="18"/>
              </w:rPr>
              <w:t>013</w:t>
            </w:r>
          </w:p>
        </w:tc>
        <w:tc>
          <w:tcPr>
            <w:tcW w:w="1860" w:type="dxa"/>
            <w:tcMar>
              <w:top w:w="0" w:type="dxa"/>
              <w:bottom w:w="0" w:type="dxa"/>
            </w:tcMar>
            <w:vAlign w:val="center"/>
          </w:tcPr>
          <w:p w14:paraId="790F5F4F" w14:textId="77777777" w:rsidR="00161CC3" w:rsidRDefault="00000000">
            <w:pPr>
              <w:keepNext/>
              <w:keepLines/>
              <w:spacing w:after="0" w:line="240" w:lineRule="auto"/>
              <w:jc w:val="right"/>
            </w:pPr>
            <w:r>
              <w:rPr>
                <w:sz w:val="18"/>
              </w:rPr>
              <w:t>698.540,74</w:t>
            </w:r>
          </w:p>
        </w:tc>
        <w:tc>
          <w:tcPr>
            <w:tcW w:w="1860" w:type="dxa"/>
            <w:tcMar>
              <w:top w:w="0" w:type="dxa"/>
              <w:bottom w:w="0" w:type="dxa"/>
            </w:tcMar>
            <w:vAlign w:val="center"/>
          </w:tcPr>
          <w:p w14:paraId="5DC85CAC" w14:textId="77777777" w:rsidR="00161CC3" w:rsidRDefault="00000000">
            <w:pPr>
              <w:keepNext/>
              <w:keepLines/>
              <w:spacing w:after="0" w:line="240" w:lineRule="auto"/>
              <w:jc w:val="right"/>
            </w:pPr>
            <w:r>
              <w:rPr>
                <w:sz w:val="18"/>
              </w:rPr>
              <w:t>773.721,34</w:t>
            </w:r>
          </w:p>
        </w:tc>
        <w:tc>
          <w:tcPr>
            <w:tcW w:w="700" w:type="dxa"/>
            <w:tcMar>
              <w:top w:w="0" w:type="dxa"/>
              <w:bottom w:w="0" w:type="dxa"/>
            </w:tcMar>
            <w:vAlign w:val="center"/>
          </w:tcPr>
          <w:p w14:paraId="6A981FCD" w14:textId="77777777" w:rsidR="00161CC3" w:rsidRDefault="00000000">
            <w:pPr>
              <w:keepNext/>
              <w:keepLines/>
              <w:spacing w:after="0" w:line="240" w:lineRule="auto"/>
              <w:jc w:val="right"/>
            </w:pPr>
            <w:r>
              <w:rPr>
                <w:sz w:val="18"/>
              </w:rPr>
              <w:t>110,8</w:t>
            </w:r>
          </w:p>
        </w:tc>
      </w:tr>
    </w:tbl>
    <w:p w14:paraId="18C00C9E" w14:textId="77777777" w:rsidR="00161CC3" w:rsidRDefault="00161CC3">
      <w:pPr>
        <w:spacing w:after="0"/>
      </w:pPr>
    </w:p>
    <w:p w14:paraId="1AB0C5F1" w14:textId="77777777" w:rsidR="00161CC3" w:rsidRDefault="00000000">
      <w:r>
        <w:t>Povećanje od 10,8% u odnosu na prethodnu godinu najvećim dijelom odnosi se na materijalne rashode gradske uprave i intelektualne usluge u okviru redovne djelatnosti ureda gradonačelnika. </w:t>
      </w:r>
    </w:p>
    <w:p w14:paraId="0AA67F67" w14:textId="77777777" w:rsidR="00161CC3" w:rsidRDefault="00161CC3"/>
    <w:p w14:paraId="30724585" w14:textId="77777777" w:rsidR="00161CC3" w:rsidRDefault="00000000">
      <w:pPr>
        <w:keepNext/>
        <w:spacing w:line="240" w:lineRule="auto"/>
        <w:jc w:val="center"/>
      </w:pPr>
      <w:r>
        <w:rPr>
          <w:sz w:val="28"/>
        </w:rPr>
        <w:lastRenderedPageBreak/>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3F13339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E1D483"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A26D39"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44F00F"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BA4CD0"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21877A"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572AD7" w14:textId="77777777" w:rsidR="00161CC3" w:rsidRDefault="00000000">
            <w:pPr>
              <w:keepNext/>
              <w:keepLines/>
              <w:spacing w:after="0" w:line="240" w:lineRule="auto"/>
              <w:jc w:val="center"/>
            </w:pPr>
            <w:r>
              <w:rPr>
                <w:b/>
                <w:sz w:val="18"/>
              </w:rPr>
              <w:t>Indeks (%)</w:t>
            </w:r>
          </w:p>
        </w:tc>
      </w:tr>
      <w:tr w:rsidR="00161CC3" w14:paraId="0DF9EF7B" w14:textId="77777777">
        <w:tblPrEx>
          <w:tblCellMar>
            <w:top w:w="0" w:type="dxa"/>
            <w:bottom w:w="0" w:type="dxa"/>
          </w:tblCellMar>
        </w:tblPrEx>
        <w:trPr>
          <w:cantSplit/>
          <w:trHeight w:val="560"/>
        </w:trPr>
        <w:tc>
          <w:tcPr>
            <w:tcW w:w="700" w:type="dxa"/>
            <w:tcMar>
              <w:top w:w="0" w:type="dxa"/>
              <w:bottom w:w="0" w:type="dxa"/>
            </w:tcMar>
            <w:vAlign w:val="center"/>
          </w:tcPr>
          <w:p w14:paraId="5EAE7474" w14:textId="77777777" w:rsidR="00161CC3" w:rsidRDefault="00000000">
            <w:pPr>
              <w:keepNext/>
              <w:keepLines/>
              <w:spacing w:after="0" w:line="240" w:lineRule="auto"/>
            </w:pPr>
            <w:r>
              <w:rPr>
                <w:sz w:val="18"/>
              </w:rPr>
              <w:t>03</w:t>
            </w:r>
          </w:p>
        </w:tc>
        <w:tc>
          <w:tcPr>
            <w:tcW w:w="3180" w:type="dxa"/>
            <w:tcMar>
              <w:top w:w="0" w:type="dxa"/>
              <w:bottom w:w="0" w:type="dxa"/>
            </w:tcMar>
            <w:vAlign w:val="center"/>
          </w:tcPr>
          <w:p w14:paraId="65B66F1D" w14:textId="77777777" w:rsidR="00161CC3" w:rsidRDefault="00000000">
            <w:pPr>
              <w:keepNext/>
              <w:keepLines/>
              <w:spacing w:after="0" w:line="240" w:lineRule="auto"/>
            </w:pPr>
            <w:r>
              <w:rPr>
                <w:sz w:val="18"/>
              </w:rPr>
              <w:t>Javni red i sigurnost (šifre 031 do 036)</w:t>
            </w:r>
          </w:p>
        </w:tc>
        <w:tc>
          <w:tcPr>
            <w:tcW w:w="700" w:type="dxa"/>
            <w:tcMar>
              <w:top w:w="0" w:type="dxa"/>
              <w:bottom w:w="0" w:type="dxa"/>
            </w:tcMar>
            <w:vAlign w:val="center"/>
          </w:tcPr>
          <w:p w14:paraId="22D197BC" w14:textId="77777777" w:rsidR="00161CC3" w:rsidRDefault="00000000">
            <w:pPr>
              <w:keepNext/>
              <w:keepLines/>
              <w:spacing w:after="0" w:line="240" w:lineRule="auto"/>
            </w:pPr>
            <w:r>
              <w:rPr>
                <w:sz w:val="18"/>
              </w:rPr>
              <w:t>03</w:t>
            </w:r>
          </w:p>
        </w:tc>
        <w:tc>
          <w:tcPr>
            <w:tcW w:w="1860" w:type="dxa"/>
            <w:tcMar>
              <w:top w:w="0" w:type="dxa"/>
              <w:bottom w:w="0" w:type="dxa"/>
            </w:tcMar>
            <w:vAlign w:val="center"/>
          </w:tcPr>
          <w:p w14:paraId="5DB6C5DC" w14:textId="77777777" w:rsidR="00161CC3" w:rsidRDefault="00000000">
            <w:pPr>
              <w:keepNext/>
              <w:keepLines/>
              <w:spacing w:after="0" w:line="240" w:lineRule="auto"/>
              <w:jc w:val="right"/>
            </w:pPr>
            <w:r>
              <w:rPr>
                <w:sz w:val="18"/>
              </w:rPr>
              <w:t>201.900,80</w:t>
            </w:r>
          </w:p>
        </w:tc>
        <w:tc>
          <w:tcPr>
            <w:tcW w:w="1860" w:type="dxa"/>
            <w:tcMar>
              <w:top w:w="0" w:type="dxa"/>
              <w:bottom w:w="0" w:type="dxa"/>
            </w:tcMar>
            <w:vAlign w:val="center"/>
          </w:tcPr>
          <w:p w14:paraId="47D17C76" w14:textId="77777777" w:rsidR="00161CC3" w:rsidRDefault="00000000">
            <w:pPr>
              <w:keepNext/>
              <w:keepLines/>
              <w:spacing w:after="0" w:line="240" w:lineRule="auto"/>
              <w:jc w:val="right"/>
            </w:pPr>
            <w:r>
              <w:rPr>
                <w:sz w:val="18"/>
              </w:rPr>
              <w:t>134.588,68</w:t>
            </w:r>
          </w:p>
        </w:tc>
        <w:tc>
          <w:tcPr>
            <w:tcW w:w="700" w:type="dxa"/>
            <w:tcMar>
              <w:top w:w="0" w:type="dxa"/>
              <w:bottom w:w="0" w:type="dxa"/>
            </w:tcMar>
            <w:vAlign w:val="center"/>
          </w:tcPr>
          <w:p w14:paraId="4AA09827" w14:textId="77777777" w:rsidR="00161CC3" w:rsidRDefault="00000000">
            <w:pPr>
              <w:keepNext/>
              <w:keepLines/>
              <w:spacing w:after="0" w:line="240" w:lineRule="auto"/>
              <w:jc w:val="right"/>
            </w:pPr>
            <w:r>
              <w:rPr>
                <w:sz w:val="18"/>
              </w:rPr>
              <w:t>66,7</w:t>
            </w:r>
          </w:p>
        </w:tc>
      </w:tr>
    </w:tbl>
    <w:p w14:paraId="4864F6F5" w14:textId="77777777" w:rsidR="00161CC3" w:rsidRDefault="00161CC3">
      <w:pPr>
        <w:spacing w:after="0"/>
      </w:pPr>
    </w:p>
    <w:p w14:paraId="6462F476" w14:textId="77777777" w:rsidR="00161CC3" w:rsidRDefault="00000000">
      <w:r>
        <w:t>Smanjenje od 33,3% u odnosu na prethodnu godinu najvećim dijelom odnosi se na završetak EU projekta Cicero.</w:t>
      </w:r>
    </w:p>
    <w:p w14:paraId="43493C71" w14:textId="77777777" w:rsidR="00161CC3" w:rsidRDefault="00161CC3"/>
    <w:p w14:paraId="6BA09244" w14:textId="77777777" w:rsidR="00161CC3" w:rsidRDefault="00000000">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37505EB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182508"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B514DCA"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222CD3"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1E90D1"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A66690"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B96479" w14:textId="77777777" w:rsidR="00161CC3" w:rsidRDefault="00000000">
            <w:pPr>
              <w:keepNext/>
              <w:keepLines/>
              <w:spacing w:after="0" w:line="240" w:lineRule="auto"/>
              <w:jc w:val="center"/>
            </w:pPr>
            <w:r>
              <w:rPr>
                <w:b/>
                <w:sz w:val="18"/>
              </w:rPr>
              <w:t>Indeks (%)</w:t>
            </w:r>
          </w:p>
        </w:tc>
      </w:tr>
      <w:tr w:rsidR="00161CC3" w14:paraId="175618D7" w14:textId="77777777">
        <w:tblPrEx>
          <w:tblCellMar>
            <w:top w:w="0" w:type="dxa"/>
            <w:bottom w:w="0" w:type="dxa"/>
          </w:tblCellMar>
        </w:tblPrEx>
        <w:trPr>
          <w:cantSplit/>
          <w:trHeight w:val="560"/>
        </w:trPr>
        <w:tc>
          <w:tcPr>
            <w:tcW w:w="700" w:type="dxa"/>
            <w:tcMar>
              <w:top w:w="0" w:type="dxa"/>
              <w:bottom w:w="0" w:type="dxa"/>
            </w:tcMar>
            <w:vAlign w:val="center"/>
          </w:tcPr>
          <w:p w14:paraId="214E1D0C" w14:textId="77777777" w:rsidR="00161CC3" w:rsidRDefault="00000000">
            <w:pPr>
              <w:keepNext/>
              <w:keepLines/>
              <w:spacing w:after="0" w:line="240" w:lineRule="auto"/>
            </w:pPr>
            <w:r>
              <w:rPr>
                <w:sz w:val="18"/>
              </w:rPr>
              <w:t>08</w:t>
            </w:r>
          </w:p>
        </w:tc>
        <w:tc>
          <w:tcPr>
            <w:tcW w:w="3180" w:type="dxa"/>
            <w:tcMar>
              <w:top w:w="0" w:type="dxa"/>
              <w:bottom w:w="0" w:type="dxa"/>
            </w:tcMar>
            <w:vAlign w:val="center"/>
          </w:tcPr>
          <w:p w14:paraId="4CBD204A" w14:textId="77777777" w:rsidR="00161CC3" w:rsidRDefault="00000000">
            <w:pPr>
              <w:keepNext/>
              <w:keepLines/>
              <w:spacing w:after="0" w:line="240" w:lineRule="auto"/>
            </w:pPr>
            <w:r>
              <w:rPr>
                <w:sz w:val="18"/>
              </w:rPr>
              <w:t>Rekreacija, kultura i religija (šifre 081 do 086)</w:t>
            </w:r>
          </w:p>
        </w:tc>
        <w:tc>
          <w:tcPr>
            <w:tcW w:w="700" w:type="dxa"/>
            <w:tcMar>
              <w:top w:w="0" w:type="dxa"/>
              <w:bottom w:w="0" w:type="dxa"/>
            </w:tcMar>
            <w:vAlign w:val="center"/>
          </w:tcPr>
          <w:p w14:paraId="0E8C82F0" w14:textId="77777777" w:rsidR="00161CC3" w:rsidRDefault="00000000">
            <w:pPr>
              <w:keepNext/>
              <w:keepLines/>
              <w:spacing w:after="0" w:line="240" w:lineRule="auto"/>
            </w:pPr>
            <w:r>
              <w:rPr>
                <w:sz w:val="18"/>
              </w:rPr>
              <w:t>08</w:t>
            </w:r>
          </w:p>
        </w:tc>
        <w:tc>
          <w:tcPr>
            <w:tcW w:w="1860" w:type="dxa"/>
            <w:tcMar>
              <w:top w:w="0" w:type="dxa"/>
              <w:bottom w:w="0" w:type="dxa"/>
            </w:tcMar>
            <w:vAlign w:val="center"/>
          </w:tcPr>
          <w:p w14:paraId="3F87F2AD" w14:textId="77777777" w:rsidR="00161CC3" w:rsidRDefault="00000000">
            <w:pPr>
              <w:keepNext/>
              <w:keepLines/>
              <w:spacing w:after="0" w:line="240" w:lineRule="auto"/>
              <w:jc w:val="right"/>
            </w:pPr>
            <w:r>
              <w:rPr>
                <w:sz w:val="18"/>
              </w:rPr>
              <w:t>1.985.224,05</w:t>
            </w:r>
          </w:p>
        </w:tc>
        <w:tc>
          <w:tcPr>
            <w:tcW w:w="1860" w:type="dxa"/>
            <w:tcMar>
              <w:top w:w="0" w:type="dxa"/>
              <w:bottom w:w="0" w:type="dxa"/>
            </w:tcMar>
            <w:vAlign w:val="center"/>
          </w:tcPr>
          <w:p w14:paraId="5D75A73F" w14:textId="77777777" w:rsidR="00161CC3" w:rsidRDefault="00000000">
            <w:pPr>
              <w:keepNext/>
              <w:keepLines/>
              <w:spacing w:after="0" w:line="240" w:lineRule="auto"/>
              <w:jc w:val="right"/>
            </w:pPr>
            <w:r>
              <w:rPr>
                <w:sz w:val="18"/>
              </w:rPr>
              <w:t>1.320.947,99</w:t>
            </w:r>
          </w:p>
        </w:tc>
        <w:tc>
          <w:tcPr>
            <w:tcW w:w="700" w:type="dxa"/>
            <w:tcMar>
              <w:top w:w="0" w:type="dxa"/>
              <w:bottom w:w="0" w:type="dxa"/>
            </w:tcMar>
            <w:vAlign w:val="center"/>
          </w:tcPr>
          <w:p w14:paraId="059DF1E9" w14:textId="77777777" w:rsidR="00161CC3" w:rsidRDefault="00000000">
            <w:pPr>
              <w:keepNext/>
              <w:keepLines/>
              <w:spacing w:after="0" w:line="240" w:lineRule="auto"/>
              <w:jc w:val="right"/>
            </w:pPr>
            <w:r>
              <w:rPr>
                <w:sz w:val="18"/>
              </w:rPr>
              <w:t>66,5</w:t>
            </w:r>
          </w:p>
        </w:tc>
      </w:tr>
    </w:tbl>
    <w:p w14:paraId="5D03B57D" w14:textId="77777777" w:rsidR="00161CC3" w:rsidRDefault="00161CC3">
      <w:pPr>
        <w:spacing w:after="0"/>
      </w:pPr>
    </w:p>
    <w:p w14:paraId="72565DE4" w14:textId="77777777" w:rsidR="00161CC3" w:rsidRDefault="00000000">
      <w:r>
        <w:t xml:space="preserve">Smanjenje od 33,5% najvećim dijelom odnosi se na završetak izgradnje nogometnog igrališta na </w:t>
      </w:r>
      <w:proofErr w:type="spellStart"/>
      <w:r>
        <w:t>Vinežu</w:t>
      </w:r>
      <w:proofErr w:type="spellEnd"/>
      <w:r>
        <w:t>.</w:t>
      </w:r>
    </w:p>
    <w:p w14:paraId="765CD9BA" w14:textId="77777777" w:rsidR="00161CC3" w:rsidRDefault="00161CC3"/>
    <w:p w14:paraId="6319B5F8" w14:textId="77777777" w:rsidR="00161CC3" w:rsidRDefault="00000000">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3C26595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66DF9B"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9D2875"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25E0C1"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2C1431"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0F91F7"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5F755D" w14:textId="77777777" w:rsidR="00161CC3" w:rsidRDefault="00000000">
            <w:pPr>
              <w:keepNext/>
              <w:keepLines/>
              <w:spacing w:after="0" w:line="240" w:lineRule="auto"/>
              <w:jc w:val="center"/>
            </w:pPr>
            <w:r>
              <w:rPr>
                <w:b/>
                <w:sz w:val="18"/>
              </w:rPr>
              <w:t>Indeks (%)</w:t>
            </w:r>
          </w:p>
        </w:tc>
      </w:tr>
      <w:tr w:rsidR="00161CC3" w14:paraId="7D30D1C3" w14:textId="77777777">
        <w:tblPrEx>
          <w:tblCellMar>
            <w:top w:w="0" w:type="dxa"/>
            <w:bottom w:w="0" w:type="dxa"/>
          </w:tblCellMar>
        </w:tblPrEx>
        <w:trPr>
          <w:cantSplit/>
          <w:trHeight w:val="560"/>
        </w:trPr>
        <w:tc>
          <w:tcPr>
            <w:tcW w:w="700" w:type="dxa"/>
            <w:tcMar>
              <w:top w:w="0" w:type="dxa"/>
              <w:bottom w:w="0" w:type="dxa"/>
            </w:tcMar>
            <w:vAlign w:val="center"/>
          </w:tcPr>
          <w:p w14:paraId="263D1487" w14:textId="77777777" w:rsidR="00161CC3" w:rsidRDefault="00000000">
            <w:pPr>
              <w:keepNext/>
              <w:keepLines/>
              <w:spacing w:after="0" w:line="240" w:lineRule="auto"/>
            </w:pPr>
            <w:r>
              <w:rPr>
                <w:sz w:val="18"/>
              </w:rPr>
              <w:t>09</w:t>
            </w:r>
          </w:p>
        </w:tc>
        <w:tc>
          <w:tcPr>
            <w:tcW w:w="3180" w:type="dxa"/>
            <w:tcMar>
              <w:top w:w="0" w:type="dxa"/>
              <w:bottom w:w="0" w:type="dxa"/>
            </w:tcMar>
            <w:vAlign w:val="center"/>
          </w:tcPr>
          <w:p w14:paraId="104936F1" w14:textId="77777777" w:rsidR="00161CC3" w:rsidRDefault="00000000">
            <w:pPr>
              <w:keepNext/>
              <w:keepLines/>
              <w:spacing w:after="0" w:line="240" w:lineRule="auto"/>
            </w:pPr>
            <w:r>
              <w:rPr>
                <w:sz w:val="18"/>
              </w:rPr>
              <w:t>Obrazovanje (šifre 091+092+093+094+095+096+097+098)</w:t>
            </w:r>
          </w:p>
        </w:tc>
        <w:tc>
          <w:tcPr>
            <w:tcW w:w="700" w:type="dxa"/>
            <w:tcMar>
              <w:top w:w="0" w:type="dxa"/>
              <w:bottom w:w="0" w:type="dxa"/>
            </w:tcMar>
            <w:vAlign w:val="center"/>
          </w:tcPr>
          <w:p w14:paraId="63CD825B" w14:textId="77777777" w:rsidR="00161CC3" w:rsidRDefault="00000000">
            <w:pPr>
              <w:keepNext/>
              <w:keepLines/>
              <w:spacing w:after="0" w:line="240" w:lineRule="auto"/>
            </w:pPr>
            <w:r>
              <w:rPr>
                <w:sz w:val="18"/>
              </w:rPr>
              <w:t>09</w:t>
            </w:r>
          </w:p>
        </w:tc>
        <w:tc>
          <w:tcPr>
            <w:tcW w:w="1860" w:type="dxa"/>
            <w:tcMar>
              <w:top w:w="0" w:type="dxa"/>
              <w:bottom w:w="0" w:type="dxa"/>
            </w:tcMar>
            <w:vAlign w:val="center"/>
          </w:tcPr>
          <w:p w14:paraId="5E0ECFD9" w14:textId="77777777" w:rsidR="00161CC3" w:rsidRDefault="00000000">
            <w:pPr>
              <w:keepNext/>
              <w:keepLines/>
              <w:spacing w:after="0" w:line="240" w:lineRule="auto"/>
              <w:jc w:val="right"/>
            </w:pPr>
            <w:r>
              <w:rPr>
                <w:sz w:val="18"/>
              </w:rPr>
              <w:t>691.208,76</w:t>
            </w:r>
          </w:p>
        </w:tc>
        <w:tc>
          <w:tcPr>
            <w:tcW w:w="1860" w:type="dxa"/>
            <w:tcMar>
              <w:top w:w="0" w:type="dxa"/>
              <w:bottom w:w="0" w:type="dxa"/>
            </w:tcMar>
            <w:vAlign w:val="center"/>
          </w:tcPr>
          <w:p w14:paraId="79489C28" w14:textId="77777777" w:rsidR="00161CC3" w:rsidRDefault="00000000">
            <w:pPr>
              <w:keepNext/>
              <w:keepLines/>
              <w:spacing w:after="0" w:line="240" w:lineRule="auto"/>
              <w:jc w:val="right"/>
            </w:pPr>
            <w:r>
              <w:rPr>
                <w:sz w:val="18"/>
              </w:rPr>
              <w:t>2.391.482,88</w:t>
            </w:r>
          </w:p>
        </w:tc>
        <w:tc>
          <w:tcPr>
            <w:tcW w:w="700" w:type="dxa"/>
            <w:tcMar>
              <w:top w:w="0" w:type="dxa"/>
              <w:bottom w:w="0" w:type="dxa"/>
            </w:tcMar>
            <w:vAlign w:val="center"/>
          </w:tcPr>
          <w:p w14:paraId="719BB30C" w14:textId="77777777" w:rsidR="00161CC3" w:rsidRDefault="00000000">
            <w:pPr>
              <w:keepNext/>
              <w:keepLines/>
              <w:spacing w:after="0" w:line="240" w:lineRule="auto"/>
              <w:jc w:val="right"/>
            </w:pPr>
            <w:r>
              <w:rPr>
                <w:sz w:val="18"/>
              </w:rPr>
              <w:t>346,0</w:t>
            </w:r>
          </w:p>
        </w:tc>
      </w:tr>
    </w:tbl>
    <w:p w14:paraId="54EC102A" w14:textId="77777777" w:rsidR="00161CC3" w:rsidRDefault="00161CC3">
      <w:pPr>
        <w:spacing w:after="0"/>
      </w:pPr>
    </w:p>
    <w:p w14:paraId="7F34EB81" w14:textId="77777777" w:rsidR="00161CC3" w:rsidRDefault="00000000">
      <w:r>
        <w:t>Povećanje od 246% odnosi se većim dijelom na izgradnju Dječjeg vrtića Vinež. </w:t>
      </w:r>
    </w:p>
    <w:p w14:paraId="2C3BA24F" w14:textId="77777777" w:rsidR="00161CC3" w:rsidRDefault="00161CC3"/>
    <w:p w14:paraId="06CE80A7" w14:textId="77777777" w:rsidR="00161CC3" w:rsidRDefault="00000000">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508CF6E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2A32E0"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EE9BA8"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D66588"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01E2A7" w14:textId="77777777" w:rsidR="00161CC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610F1D" w14:textId="77777777" w:rsidR="00161CC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18D9B56" w14:textId="77777777" w:rsidR="00161CC3" w:rsidRDefault="00000000">
            <w:pPr>
              <w:keepNext/>
              <w:keepLines/>
              <w:spacing w:after="0" w:line="240" w:lineRule="auto"/>
              <w:jc w:val="center"/>
            </w:pPr>
            <w:r>
              <w:rPr>
                <w:b/>
                <w:sz w:val="18"/>
              </w:rPr>
              <w:t>Indeks (%)</w:t>
            </w:r>
          </w:p>
        </w:tc>
      </w:tr>
      <w:tr w:rsidR="00161CC3" w14:paraId="69687CE3" w14:textId="77777777">
        <w:tblPrEx>
          <w:tblCellMar>
            <w:top w:w="0" w:type="dxa"/>
            <w:bottom w:w="0" w:type="dxa"/>
          </w:tblCellMar>
        </w:tblPrEx>
        <w:trPr>
          <w:cantSplit/>
          <w:trHeight w:val="560"/>
        </w:trPr>
        <w:tc>
          <w:tcPr>
            <w:tcW w:w="700" w:type="dxa"/>
            <w:tcMar>
              <w:top w:w="0" w:type="dxa"/>
              <w:bottom w:w="0" w:type="dxa"/>
            </w:tcMar>
            <w:vAlign w:val="center"/>
          </w:tcPr>
          <w:p w14:paraId="4AE7D7E6" w14:textId="77777777" w:rsidR="00161CC3" w:rsidRDefault="00000000">
            <w:pPr>
              <w:keepNext/>
              <w:keepLines/>
              <w:spacing w:after="0" w:line="240" w:lineRule="auto"/>
            </w:pPr>
            <w:r>
              <w:rPr>
                <w:sz w:val="18"/>
              </w:rPr>
              <w:t>10</w:t>
            </w:r>
          </w:p>
        </w:tc>
        <w:tc>
          <w:tcPr>
            <w:tcW w:w="3180" w:type="dxa"/>
            <w:tcMar>
              <w:top w:w="0" w:type="dxa"/>
              <w:bottom w:w="0" w:type="dxa"/>
            </w:tcMar>
            <w:vAlign w:val="center"/>
          </w:tcPr>
          <w:p w14:paraId="3B527B4E" w14:textId="77777777" w:rsidR="00161CC3" w:rsidRDefault="00000000">
            <w:pPr>
              <w:keepNext/>
              <w:keepLines/>
              <w:spacing w:after="0" w:line="240" w:lineRule="auto"/>
            </w:pPr>
            <w:r>
              <w:rPr>
                <w:sz w:val="18"/>
              </w:rPr>
              <w:t>Socijalna zaštita (šifre 101+102+103+104+105+106+107+108+109)</w:t>
            </w:r>
          </w:p>
        </w:tc>
        <w:tc>
          <w:tcPr>
            <w:tcW w:w="700" w:type="dxa"/>
            <w:tcMar>
              <w:top w:w="0" w:type="dxa"/>
              <w:bottom w:w="0" w:type="dxa"/>
            </w:tcMar>
            <w:vAlign w:val="center"/>
          </w:tcPr>
          <w:p w14:paraId="665136A0" w14:textId="77777777" w:rsidR="00161CC3" w:rsidRDefault="00000000">
            <w:pPr>
              <w:keepNext/>
              <w:keepLines/>
              <w:spacing w:after="0" w:line="240" w:lineRule="auto"/>
            </w:pPr>
            <w:r>
              <w:rPr>
                <w:sz w:val="18"/>
              </w:rPr>
              <w:t>10</w:t>
            </w:r>
          </w:p>
        </w:tc>
        <w:tc>
          <w:tcPr>
            <w:tcW w:w="1860" w:type="dxa"/>
            <w:tcMar>
              <w:top w:w="0" w:type="dxa"/>
              <w:bottom w:w="0" w:type="dxa"/>
            </w:tcMar>
            <w:vAlign w:val="center"/>
          </w:tcPr>
          <w:p w14:paraId="54A9896A" w14:textId="77777777" w:rsidR="00161CC3" w:rsidRDefault="00000000">
            <w:pPr>
              <w:keepNext/>
              <w:keepLines/>
              <w:spacing w:after="0" w:line="240" w:lineRule="auto"/>
              <w:jc w:val="right"/>
            </w:pPr>
            <w:r>
              <w:rPr>
                <w:sz w:val="18"/>
              </w:rPr>
              <w:t>490.989,70</w:t>
            </w:r>
          </w:p>
        </w:tc>
        <w:tc>
          <w:tcPr>
            <w:tcW w:w="1860" w:type="dxa"/>
            <w:tcMar>
              <w:top w:w="0" w:type="dxa"/>
              <w:bottom w:w="0" w:type="dxa"/>
            </w:tcMar>
            <w:vAlign w:val="center"/>
          </w:tcPr>
          <w:p w14:paraId="070999ED" w14:textId="77777777" w:rsidR="00161CC3" w:rsidRDefault="00000000">
            <w:pPr>
              <w:keepNext/>
              <w:keepLines/>
              <w:spacing w:after="0" w:line="240" w:lineRule="auto"/>
              <w:jc w:val="right"/>
            </w:pPr>
            <w:r>
              <w:rPr>
                <w:sz w:val="18"/>
              </w:rPr>
              <w:t>648.705,33</w:t>
            </w:r>
          </w:p>
        </w:tc>
        <w:tc>
          <w:tcPr>
            <w:tcW w:w="700" w:type="dxa"/>
            <w:tcMar>
              <w:top w:w="0" w:type="dxa"/>
              <w:bottom w:w="0" w:type="dxa"/>
            </w:tcMar>
            <w:vAlign w:val="center"/>
          </w:tcPr>
          <w:p w14:paraId="1662DA96" w14:textId="77777777" w:rsidR="00161CC3" w:rsidRDefault="00000000">
            <w:pPr>
              <w:keepNext/>
              <w:keepLines/>
              <w:spacing w:after="0" w:line="240" w:lineRule="auto"/>
              <w:jc w:val="right"/>
            </w:pPr>
            <w:r>
              <w:rPr>
                <w:sz w:val="18"/>
              </w:rPr>
              <w:t>132,1</w:t>
            </w:r>
          </w:p>
        </w:tc>
      </w:tr>
    </w:tbl>
    <w:p w14:paraId="688C0CD8" w14:textId="77777777" w:rsidR="00161CC3" w:rsidRDefault="00161CC3">
      <w:pPr>
        <w:spacing w:after="0"/>
      </w:pPr>
    </w:p>
    <w:p w14:paraId="5FD5A863" w14:textId="77777777" w:rsidR="00161CC3" w:rsidRDefault="00000000">
      <w:r>
        <w:t>Povećanje od 32,1% odnosi se najvećim dijelom na povećana davanja za umirovljenike na području grada Labina.</w:t>
      </w:r>
    </w:p>
    <w:p w14:paraId="22A9C9B7" w14:textId="77777777" w:rsidR="00161CC3" w:rsidRDefault="00161CC3"/>
    <w:p w14:paraId="66AC2C99" w14:textId="77777777" w:rsidR="00161CC3" w:rsidRDefault="00000000">
      <w:pPr>
        <w:keepNext/>
        <w:spacing w:line="240" w:lineRule="auto"/>
        <w:jc w:val="center"/>
      </w:pPr>
      <w:r>
        <w:rPr>
          <w:b/>
          <w:sz w:val="28"/>
        </w:rPr>
        <w:lastRenderedPageBreak/>
        <w:t>Promjene u vrijednosti i obujmu imovine i obveza</w:t>
      </w:r>
    </w:p>
    <w:p w14:paraId="7637CF7B" w14:textId="77777777" w:rsidR="00161CC3" w:rsidRDefault="00000000">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2F5CD68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1FA315"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C05125"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F5BD39"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692A2B" w14:textId="77777777" w:rsidR="00161CC3"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0D839435" w14:textId="77777777" w:rsidR="00161CC3"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0BD96DFA" w14:textId="77777777" w:rsidR="00161CC3" w:rsidRDefault="00000000">
            <w:pPr>
              <w:keepNext/>
              <w:keepLines/>
              <w:spacing w:after="0" w:line="240" w:lineRule="auto"/>
              <w:jc w:val="center"/>
            </w:pPr>
            <w:r>
              <w:rPr>
                <w:b/>
                <w:sz w:val="18"/>
              </w:rPr>
              <w:t>Indeks (%)</w:t>
            </w:r>
          </w:p>
        </w:tc>
      </w:tr>
      <w:tr w:rsidR="00161CC3" w14:paraId="09901FC1" w14:textId="77777777">
        <w:tblPrEx>
          <w:tblCellMar>
            <w:top w:w="0" w:type="dxa"/>
            <w:bottom w:w="0" w:type="dxa"/>
          </w:tblCellMar>
        </w:tblPrEx>
        <w:trPr>
          <w:cantSplit/>
          <w:trHeight w:val="560"/>
        </w:trPr>
        <w:tc>
          <w:tcPr>
            <w:tcW w:w="700" w:type="dxa"/>
            <w:tcMar>
              <w:top w:w="0" w:type="dxa"/>
              <w:bottom w:w="0" w:type="dxa"/>
            </w:tcMar>
            <w:vAlign w:val="center"/>
          </w:tcPr>
          <w:p w14:paraId="179FCB0C" w14:textId="77777777" w:rsidR="00161CC3" w:rsidRDefault="00000000">
            <w:pPr>
              <w:keepNext/>
              <w:keepLines/>
              <w:spacing w:after="0" w:line="240" w:lineRule="auto"/>
            </w:pPr>
            <w:r>
              <w:rPr>
                <w:sz w:val="18"/>
              </w:rPr>
              <w:t>91511</w:t>
            </w:r>
          </w:p>
        </w:tc>
        <w:tc>
          <w:tcPr>
            <w:tcW w:w="3180" w:type="dxa"/>
            <w:tcMar>
              <w:top w:w="0" w:type="dxa"/>
              <w:bottom w:w="0" w:type="dxa"/>
            </w:tcMar>
            <w:vAlign w:val="center"/>
          </w:tcPr>
          <w:p w14:paraId="683D4D72" w14:textId="77777777" w:rsidR="00161CC3" w:rsidRDefault="00000000">
            <w:pPr>
              <w:keepNext/>
              <w:keepLines/>
              <w:spacing w:after="0" w:line="240" w:lineRule="auto"/>
            </w:pPr>
            <w:r>
              <w:rPr>
                <w:sz w:val="18"/>
              </w:rPr>
              <w:t>Promjene u vrijednosti imovine (šifre P001+P008)</w:t>
            </w:r>
          </w:p>
        </w:tc>
        <w:tc>
          <w:tcPr>
            <w:tcW w:w="700" w:type="dxa"/>
            <w:tcMar>
              <w:top w:w="0" w:type="dxa"/>
              <w:bottom w:w="0" w:type="dxa"/>
            </w:tcMar>
            <w:vAlign w:val="center"/>
          </w:tcPr>
          <w:p w14:paraId="12D0F033" w14:textId="77777777" w:rsidR="00161CC3" w:rsidRDefault="00000000">
            <w:pPr>
              <w:keepNext/>
              <w:keepLines/>
              <w:spacing w:after="0" w:line="240" w:lineRule="auto"/>
            </w:pPr>
            <w:r>
              <w:rPr>
                <w:sz w:val="18"/>
              </w:rPr>
              <w:t>91511</w:t>
            </w:r>
          </w:p>
        </w:tc>
        <w:tc>
          <w:tcPr>
            <w:tcW w:w="1860" w:type="dxa"/>
            <w:tcMar>
              <w:top w:w="0" w:type="dxa"/>
              <w:bottom w:w="0" w:type="dxa"/>
            </w:tcMar>
            <w:vAlign w:val="center"/>
          </w:tcPr>
          <w:p w14:paraId="749B8993" w14:textId="77777777" w:rsidR="00161CC3" w:rsidRDefault="00000000">
            <w:pPr>
              <w:keepNext/>
              <w:keepLines/>
              <w:spacing w:after="0" w:line="240" w:lineRule="auto"/>
              <w:jc w:val="right"/>
            </w:pPr>
            <w:r>
              <w:rPr>
                <w:sz w:val="18"/>
              </w:rPr>
              <w:t>0,00</w:t>
            </w:r>
          </w:p>
        </w:tc>
        <w:tc>
          <w:tcPr>
            <w:tcW w:w="1860" w:type="dxa"/>
            <w:tcMar>
              <w:top w:w="0" w:type="dxa"/>
              <w:bottom w:w="0" w:type="dxa"/>
            </w:tcMar>
            <w:vAlign w:val="center"/>
          </w:tcPr>
          <w:p w14:paraId="0DF9BD53" w14:textId="77777777" w:rsidR="00161CC3" w:rsidRDefault="00000000">
            <w:pPr>
              <w:keepNext/>
              <w:keepLines/>
              <w:spacing w:after="0" w:line="240" w:lineRule="auto"/>
              <w:jc w:val="right"/>
            </w:pPr>
            <w:r>
              <w:rPr>
                <w:sz w:val="18"/>
              </w:rPr>
              <w:t>1.444.101,41</w:t>
            </w:r>
          </w:p>
        </w:tc>
        <w:tc>
          <w:tcPr>
            <w:tcW w:w="700" w:type="dxa"/>
            <w:tcMar>
              <w:top w:w="0" w:type="dxa"/>
              <w:bottom w:w="0" w:type="dxa"/>
            </w:tcMar>
            <w:vAlign w:val="center"/>
          </w:tcPr>
          <w:p w14:paraId="40E0C270" w14:textId="77777777" w:rsidR="00161CC3" w:rsidRDefault="00000000">
            <w:pPr>
              <w:keepNext/>
              <w:keepLines/>
              <w:spacing w:after="0" w:line="240" w:lineRule="auto"/>
              <w:jc w:val="right"/>
            </w:pPr>
            <w:r>
              <w:rPr>
                <w:sz w:val="18"/>
              </w:rPr>
              <w:t>-</w:t>
            </w:r>
          </w:p>
        </w:tc>
      </w:tr>
    </w:tbl>
    <w:p w14:paraId="791ED327" w14:textId="77777777" w:rsidR="00161CC3" w:rsidRDefault="00161CC3">
      <w:pPr>
        <w:spacing w:after="0"/>
      </w:pPr>
    </w:p>
    <w:p w14:paraId="2E97672B" w14:textId="77777777" w:rsidR="00161CC3" w:rsidRDefault="00000000">
      <w:r>
        <w:t>Odnosi se na usklade tržišne cijene dionice te na knjiženje ispravka vrijednosti imovine. </w:t>
      </w:r>
    </w:p>
    <w:p w14:paraId="015DBAF6" w14:textId="77777777" w:rsidR="00161CC3" w:rsidRDefault="00161CC3"/>
    <w:p w14:paraId="03DA16C9" w14:textId="77777777" w:rsidR="00161CC3" w:rsidRDefault="00000000">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61CC3" w14:paraId="5199CDA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A8BEF6"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4B2D391"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6B475B"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9D3430" w14:textId="77777777" w:rsidR="00161CC3"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12E8163E" w14:textId="77777777" w:rsidR="00161CC3"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6CAA054A" w14:textId="77777777" w:rsidR="00161CC3" w:rsidRDefault="00000000">
            <w:pPr>
              <w:keepNext/>
              <w:keepLines/>
              <w:spacing w:after="0" w:line="240" w:lineRule="auto"/>
              <w:jc w:val="center"/>
            </w:pPr>
            <w:r>
              <w:rPr>
                <w:b/>
                <w:sz w:val="18"/>
              </w:rPr>
              <w:t>Indeks (%)</w:t>
            </w:r>
          </w:p>
        </w:tc>
      </w:tr>
      <w:tr w:rsidR="00161CC3" w14:paraId="10BB0FD1" w14:textId="77777777">
        <w:tblPrEx>
          <w:tblCellMar>
            <w:top w:w="0" w:type="dxa"/>
            <w:bottom w:w="0" w:type="dxa"/>
          </w:tblCellMar>
        </w:tblPrEx>
        <w:trPr>
          <w:cantSplit/>
          <w:trHeight w:val="560"/>
        </w:trPr>
        <w:tc>
          <w:tcPr>
            <w:tcW w:w="700" w:type="dxa"/>
            <w:tcMar>
              <w:top w:w="0" w:type="dxa"/>
              <w:bottom w:w="0" w:type="dxa"/>
            </w:tcMar>
            <w:vAlign w:val="center"/>
          </w:tcPr>
          <w:p w14:paraId="1472B378" w14:textId="77777777" w:rsidR="00161CC3" w:rsidRDefault="00000000">
            <w:pPr>
              <w:keepNext/>
              <w:keepLines/>
              <w:spacing w:after="0" w:line="240" w:lineRule="auto"/>
            </w:pPr>
            <w:r>
              <w:rPr>
                <w:sz w:val="18"/>
              </w:rPr>
              <w:t>91512</w:t>
            </w:r>
          </w:p>
        </w:tc>
        <w:tc>
          <w:tcPr>
            <w:tcW w:w="3180" w:type="dxa"/>
            <w:tcMar>
              <w:top w:w="0" w:type="dxa"/>
              <w:bottom w:w="0" w:type="dxa"/>
            </w:tcMar>
            <w:vAlign w:val="center"/>
          </w:tcPr>
          <w:p w14:paraId="0F5BC07D" w14:textId="77777777" w:rsidR="00161CC3" w:rsidRDefault="00000000">
            <w:pPr>
              <w:keepNext/>
              <w:keepLines/>
              <w:spacing w:after="0" w:line="240" w:lineRule="auto"/>
            </w:pPr>
            <w:r>
              <w:rPr>
                <w:sz w:val="18"/>
              </w:rPr>
              <w:t>Promjene u obujmu imovine (šifre P016+P023)</w:t>
            </w:r>
          </w:p>
        </w:tc>
        <w:tc>
          <w:tcPr>
            <w:tcW w:w="700" w:type="dxa"/>
            <w:tcMar>
              <w:top w:w="0" w:type="dxa"/>
              <w:bottom w:w="0" w:type="dxa"/>
            </w:tcMar>
            <w:vAlign w:val="center"/>
          </w:tcPr>
          <w:p w14:paraId="4DF4303C" w14:textId="77777777" w:rsidR="00161CC3" w:rsidRDefault="00000000">
            <w:pPr>
              <w:keepNext/>
              <w:keepLines/>
              <w:spacing w:after="0" w:line="240" w:lineRule="auto"/>
            </w:pPr>
            <w:r>
              <w:rPr>
                <w:sz w:val="18"/>
              </w:rPr>
              <w:t>91512</w:t>
            </w:r>
          </w:p>
        </w:tc>
        <w:tc>
          <w:tcPr>
            <w:tcW w:w="1860" w:type="dxa"/>
            <w:tcMar>
              <w:top w:w="0" w:type="dxa"/>
              <w:bottom w:w="0" w:type="dxa"/>
            </w:tcMar>
            <w:vAlign w:val="center"/>
          </w:tcPr>
          <w:p w14:paraId="2BEB49CF" w14:textId="77777777" w:rsidR="00161CC3" w:rsidRDefault="00000000">
            <w:pPr>
              <w:keepNext/>
              <w:keepLines/>
              <w:spacing w:after="0" w:line="240" w:lineRule="auto"/>
              <w:jc w:val="right"/>
            </w:pPr>
            <w:r>
              <w:rPr>
                <w:sz w:val="18"/>
              </w:rPr>
              <w:t>43.265,66</w:t>
            </w:r>
          </w:p>
        </w:tc>
        <w:tc>
          <w:tcPr>
            <w:tcW w:w="1860" w:type="dxa"/>
            <w:tcMar>
              <w:top w:w="0" w:type="dxa"/>
              <w:bottom w:w="0" w:type="dxa"/>
            </w:tcMar>
            <w:vAlign w:val="center"/>
          </w:tcPr>
          <w:p w14:paraId="7C7B6622" w14:textId="77777777" w:rsidR="00161CC3" w:rsidRDefault="00000000">
            <w:pPr>
              <w:keepNext/>
              <w:keepLines/>
              <w:spacing w:after="0" w:line="240" w:lineRule="auto"/>
              <w:jc w:val="right"/>
            </w:pPr>
            <w:r>
              <w:rPr>
                <w:sz w:val="18"/>
              </w:rPr>
              <w:t>15.282,57</w:t>
            </w:r>
          </w:p>
        </w:tc>
        <w:tc>
          <w:tcPr>
            <w:tcW w:w="700" w:type="dxa"/>
            <w:tcMar>
              <w:top w:w="0" w:type="dxa"/>
              <w:bottom w:w="0" w:type="dxa"/>
            </w:tcMar>
            <w:vAlign w:val="center"/>
          </w:tcPr>
          <w:p w14:paraId="250A21AF" w14:textId="77777777" w:rsidR="00161CC3" w:rsidRDefault="00000000">
            <w:pPr>
              <w:keepNext/>
              <w:keepLines/>
              <w:spacing w:after="0" w:line="240" w:lineRule="auto"/>
              <w:jc w:val="right"/>
            </w:pPr>
            <w:r>
              <w:rPr>
                <w:sz w:val="18"/>
              </w:rPr>
              <w:t>35,3</w:t>
            </w:r>
          </w:p>
        </w:tc>
      </w:tr>
    </w:tbl>
    <w:p w14:paraId="735A8536" w14:textId="77777777" w:rsidR="00161CC3" w:rsidRDefault="00161CC3">
      <w:pPr>
        <w:spacing w:after="0"/>
      </w:pPr>
    </w:p>
    <w:p w14:paraId="72B562F9" w14:textId="77777777" w:rsidR="00161CC3" w:rsidRDefault="00000000">
      <w:r>
        <w:t>Povećanje od 43.265,66 eura odnosi se na uknjiženje zemljišta temeljem pravnog slijeda i završetka otkupa stanova na kojima postoji stanarsko pravo za valutnu klauzulu.</w:t>
      </w:r>
    </w:p>
    <w:p w14:paraId="33A2DC20" w14:textId="77777777" w:rsidR="00161CC3" w:rsidRDefault="00000000">
      <w:r>
        <w:t>Smanjenje u iznosu od 15.282,57 eura odnosi se na otpis nenaplativih i zastarjelih potraživanja na prijedlog Povjerenstva za popis potraživanja i obveza, a na osnovu Odluke Gradonačelnika. Velik dio smanjenja odnosi se na otpis zastarjelih i nenaplativih potraživanja za zakup poslovnih prostora, stanova, javnih površina, komunalne naknade i vodne naknade, poreza na tvrtku i poreza na kuće za odmor.</w:t>
      </w:r>
    </w:p>
    <w:p w14:paraId="09E3803C" w14:textId="77777777" w:rsidR="00161CC3" w:rsidRDefault="00161CC3"/>
    <w:p w14:paraId="77BB31A5" w14:textId="77777777" w:rsidR="00161CC3" w:rsidRDefault="00000000">
      <w:pPr>
        <w:keepNext/>
        <w:spacing w:line="240" w:lineRule="auto"/>
        <w:jc w:val="center"/>
      </w:pPr>
      <w:r>
        <w:rPr>
          <w:b/>
          <w:sz w:val="28"/>
        </w:rPr>
        <w:t>Izvještaj o obvezama</w:t>
      </w:r>
    </w:p>
    <w:p w14:paraId="636C7B74" w14:textId="77777777" w:rsidR="00161CC3" w:rsidRDefault="00000000">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161CC3" w14:paraId="093475A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C8FC5D"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8652DA"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255196"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B7998B" w14:textId="77777777" w:rsidR="00161CC3"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48A5039" w14:textId="77777777" w:rsidR="00161CC3" w:rsidRDefault="00000000">
            <w:pPr>
              <w:keepNext/>
              <w:keepLines/>
              <w:spacing w:after="0" w:line="240" w:lineRule="auto"/>
              <w:jc w:val="center"/>
            </w:pPr>
            <w:r>
              <w:rPr>
                <w:b/>
                <w:sz w:val="18"/>
              </w:rPr>
              <w:t>Indeks (%)</w:t>
            </w:r>
          </w:p>
        </w:tc>
      </w:tr>
      <w:tr w:rsidR="00161CC3" w14:paraId="71DDD61F" w14:textId="77777777">
        <w:tblPrEx>
          <w:tblCellMar>
            <w:top w:w="0" w:type="dxa"/>
            <w:bottom w:w="0" w:type="dxa"/>
          </w:tblCellMar>
        </w:tblPrEx>
        <w:trPr>
          <w:cantSplit/>
          <w:trHeight w:val="560"/>
        </w:trPr>
        <w:tc>
          <w:tcPr>
            <w:tcW w:w="700" w:type="dxa"/>
            <w:tcMar>
              <w:top w:w="0" w:type="dxa"/>
              <w:bottom w:w="0" w:type="dxa"/>
            </w:tcMar>
            <w:vAlign w:val="center"/>
          </w:tcPr>
          <w:p w14:paraId="3C930E98" w14:textId="77777777" w:rsidR="00161CC3" w:rsidRDefault="00161CC3">
            <w:pPr>
              <w:keepNext/>
              <w:keepLines/>
              <w:spacing w:after="0" w:line="240" w:lineRule="auto"/>
            </w:pPr>
          </w:p>
        </w:tc>
        <w:tc>
          <w:tcPr>
            <w:tcW w:w="3180" w:type="dxa"/>
            <w:tcMar>
              <w:top w:w="0" w:type="dxa"/>
              <w:bottom w:w="0" w:type="dxa"/>
            </w:tcMar>
            <w:vAlign w:val="center"/>
          </w:tcPr>
          <w:p w14:paraId="70A39F27" w14:textId="77777777" w:rsidR="00161CC3" w:rsidRDefault="000000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501D9560" w14:textId="77777777" w:rsidR="00161CC3" w:rsidRDefault="00000000">
            <w:pPr>
              <w:keepNext/>
              <w:keepLines/>
              <w:spacing w:after="0" w:line="240" w:lineRule="auto"/>
            </w:pPr>
            <w:r>
              <w:rPr>
                <w:sz w:val="18"/>
              </w:rPr>
              <w:t>V006</w:t>
            </w:r>
          </w:p>
        </w:tc>
        <w:tc>
          <w:tcPr>
            <w:tcW w:w="1860" w:type="dxa"/>
            <w:tcMar>
              <w:top w:w="0" w:type="dxa"/>
              <w:bottom w:w="0" w:type="dxa"/>
            </w:tcMar>
            <w:vAlign w:val="center"/>
          </w:tcPr>
          <w:p w14:paraId="19F8679B" w14:textId="77777777" w:rsidR="00161CC3" w:rsidRDefault="00000000">
            <w:pPr>
              <w:keepNext/>
              <w:keepLines/>
              <w:spacing w:after="0" w:line="240" w:lineRule="auto"/>
              <w:jc w:val="right"/>
            </w:pPr>
            <w:r>
              <w:rPr>
                <w:sz w:val="18"/>
              </w:rPr>
              <w:t>7.225.838,74</w:t>
            </w:r>
          </w:p>
        </w:tc>
        <w:tc>
          <w:tcPr>
            <w:tcW w:w="700" w:type="dxa"/>
            <w:tcMar>
              <w:top w:w="0" w:type="dxa"/>
              <w:bottom w:w="0" w:type="dxa"/>
            </w:tcMar>
            <w:vAlign w:val="center"/>
          </w:tcPr>
          <w:p w14:paraId="69AB7614" w14:textId="77777777" w:rsidR="00161CC3" w:rsidRDefault="00000000">
            <w:pPr>
              <w:keepNext/>
              <w:keepLines/>
              <w:spacing w:after="0" w:line="240" w:lineRule="auto"/>
              <w:jc w:val="right"/>
            </w:pPr>
            <w:r>
              <w:rPr>
                <w:sz w:val="18"/>
              </w:rPr>
              <w:t>-</w:t>
            </w:r>
          </w:p>
        </w:tc>
      </w:tr>
    </w:tbl>
    <w:p w14:paraId="666C62F0" w14:textId="77777777" w:rsidR="00161CC3" w:rsidRDefault="00161CC3">
      <w:pPr>
        <w:spacing w:after="0"/>
      </w:pPr>
    </w:p>
    <w:p w14:paraId="671C7ECE" w14:textId="77777777" w:rsidR="00161CC3" w:rsidRDefault="00000000">
      <w:r>
        <w:t>Stanje obveza na kraju izvještajnog razdoblja - Ukupno stanje obveza na dan 31. prosinca 2025. godine iznosi 7.225.838,74 EUR i odnosi se na dospjele i nedospjele obveze Grada Labina i stanja obveza Vijeća nacionalnih manjina. Stanje dospjelih obveza na dan 31.12.2025. godine iznosi 36.181,01 EUR, a stanje nedospjelih obveza iznosi 7.189.657,73 EUR.</w:t>
      </w:r>
    </w:p>
    <w:p w14:paraId="4B399B13" w14:textId="77777777" w:rsidR="00161CC3" w:rsidRDefault="00161CC3"/>
    <w:p w14:paraId="7BFEF380" w14:textId="77777777" w:rsidR="00161CC3" w:rsidRDefault="00000000">
      <w:pPr>
        <w:keepNext/>
        <w:spacing w:line="240" w:lineRule="auto"/>
        <w:jc w:val="center"/>
      </w:pPr>
      <w:r>
        <w:rPr>
          <w:sz w:val="28"/>
        </w:rPr>
        <w:lastRenderedPageBreak/>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161CC3" w14:paraId="72C046B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D08044"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D599D4"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7B2DDC"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9B3493" w14:textId="77777777" w:rsidR="00161CC3"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D3CDB93" w14:textId="77777777" w:rsidR="00161CC3" w:rsidRDefault="00000000">
            <w:pPr>
              <w:keepNext/>
              <w:keepLines/>
              <w:spacing w:after="0" w:line="240" w:lineRule="auto"/>
              <w:jc w:val="center"/>
            </w:pPr>
            <w:r>
              <w:rPr>
                <w:b/>
                <w:sz w:val="18"/>
              </w:rPr>
              <w:t>Indeks (%)</w:t>
            </w:r>
          </w:p>
        </w:tc>
      </w:tr>
      <w:tr w:rsidR="00161CC3" w14:paraId="191E88BC" w14:textId="77777777">
        <w:tblPrEx>
          <w:tblCellMar>
            <w:top w:w="0" w:type="dxa"/>
            <w:bottom w:w="0" w:type="dxa"/>
          </w:tblCellMar>
        </w:tblPrEx>
        <w:trPr>
          <w:cantSplit/>
          <w:trHeight w:val="560"/>
        </w:trPr>
        <w:tc>
          <w:tcPr>
            <w:tcW w:w="700" w:type="dxa"/>
            <w:tcMar>
              <w:top w:w="0" w:type="dxa"/>
              <w:bottom w:w="0" w:type="dxa"/>
            </w:tcMar>
            <w:vAlign w:val="center"/>
          </w:tcPr>
          <w:p w14:paraId="556653D7" w14:textId="77777777" w:rsidR="00161CC3" w:rsidRDefault="00161CC3">
            <w:pPr>
              <w:keepNext/>
              <w:keepLines/>
              <w:spacing w:after="0" w:line="240" w:lineRule="auto"/>
            </w:pPr>
          </w:p>
        </w:tc>
        <w:tc>
          <w:tcPr>
            <w:tcW w:w="3180" w:type="dxa"/>
            <w:tcMar>
              <w:top w:w="0" w:type="dxa"/>
              <w:bottom w:w="0" w:type="dxa"/>
            </w:tcMar>
            <w:vAlign w:val="center"/>
          </w:tcPr>
          <w:p w14:paraId="51AB4C20" w14:textId="77777777" w:rsidR="00161CC3"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33944C7B" w14:textId="77777777" w:rsidR="00161CC3" w:rsidRDefault="00000000">
            <w:pPr>
              <w:keepNext/>
              <w:keepLines/>
              <w:spacing w:after="0" w:line="240" w:lineRule="auto"/>
            </w:pPr>
            <w:r>
              <w:rPr>
                <w:sz w:val="18"/>
              </w:rPr>
              <w:t>V007</w:t>
            </w:r>
          </w:p>
        </w:tc>
        <w:tc>
          <w:tcPr>
            <w:tcW w:w="1860" w:type="dxa"/>
            <w:tcMar>
              <w:top w:w="0" w:type="dxa"/>
              <w:bottom w:w="0" w:type="dxa"/>
            </w:tcMar>
            <w:vAlign w:val="center"/>
          </w:tcPr>
          <w:p w14:paraId="5B46D0E4" w14:textId="77777777" w:rsidR="00161CC3" w:rsidRDefault="00000000">
            <w:pPr>
              <w:keepNext/>
              <w:keepLines/>
              <w:spacing w:after="0" w:line="240" w:lineRule="auto"/>
              <w:jc w:val="right"/>
            </w:pPr>
            <w:r>
              <w:rPr>
                <w:sz w:val="18"/>
              </w:rPr>
              <w:t>36.181,01</w:t>
            </w:r>
          </w:p>
        </w:tc>
        <w:tc>
          <w:tcPr>
            <w:tcW w:w="700" w:type="dxa"/>
            <w:tcMar>
              <w:top w:w="0" w:type="dxa"/>
              <w:bottom w:w="0" w:type="dxa"/>
            </w:tcMar>
            <w:vAlign w:val="center"/>
          </w:tcPr>
          <w:p w14:paraId="46C89C3C" w14:textId="77777777" w:rsidR="00161CC3" w:rsidRDefault="00000000">
            <w:pPr>
              <w:keepNext/>
              <w:keepLines/>
              <w:spacing w:after="0" w:line="240" w:lineRule="auto"/>
              <w:jc w:val="right"/>
            </w:pPr>
            <w:r>
              <w:rPr>
                <w:sz w:val="18"/>
              </w:rPr>
              <w:t>-</w:t>
            </w:r>
          </w:p>
        </w:tc>
      </w:tr>
    </w:tbl>
    <w:p w14:paraId="43704D18" w14:textId="77777777" w:rsidR="00161CC3" w:rsidRDefault="00161CC3">
      <w:pPr>
        <w:spacing w:after="0"/>
      </w:pPr>
    </w:p>
    <w:p w14:paraId="464A5F6B" w14:textId="77777777" w:rsidR="00161CC3" w:rsidRDefault="00000000">
      <w:r>
        <w:t>Stanje dospjelih obveza na kraju izvještajnog razdoblja iznose 36.181,01 eura, a odnose se na obveze za zaposlene i to sa prekoračenjem do 60 dana 4.079,20 eura, materijalne rashode i to s prekoračenjem do 60 dana 11.917,67 eura, od 60-180 dana 812,50 eura i od 181-360 dana 6.780,78 eura (odnose se na račune koji će biti plaćeni tijekom mjeseca siječnja i veljače u 2026. godini), obveze za naknade građanima i kućanstvima  iznose 1.350,86 eura sa prekoračenjem do  60 dana, te na obveze za nabavu nefinancijske imovine u iznosu od 11.150,00 eura s prekoračenjem do 60 dana te obveze za subvencije u iznosu od 90,00 eura sa prekoračenjem do 60 dana.</w:t>
      </w:r>
    </w:p>
    <w:p w14:paraId="2E3B7393" w14:textId="77777777" w:rsidR="00161CC3" w:rsidRDefault="00161CC3"/>
    <w:p w14:paraId="39CD90DD" w14:textId="77777777" w:rsidR="00161CC3" w:rsidRDefault="00000000">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161CC3" w14:paraId="3886A64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3B4C8C"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F45DAA"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BA358D"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A52030" w14:textId="77777777" w:rsidR="00161CC3"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3D0B398" w14:textId="77777777" w:rsidR="00161CC3" w:rsidRDefault="00000000">
            <w:pPr>
              <w:keepNext/>
              <w:keepLines/>
              <w:spacing w:after="0" w:line="240" w:lineRule="auto"/>
              <w:jc w:val="center"/>
            </w:pPr>
            <w:r>
              <w:rPr>
                <w:b/>
                <w:sz w:val="18"/>
              </w:rPr>
              <w:t>Indeks (%)</w:t>
            </w:r>
          </w:p>
        </w:tc>
      </w:tr>
      <w:tr w:rsidR="00161CC3" w14:paraId="535E9E01" w14:textId="77777777">
        <w:tblPrEx>
          <w:tblCellMar>
            <w:top w:w="0" w:type="dxa"/>
            <w:bottom w:w="0" w:type="dxa"/>
          </w:tblCellMar>
        </w:tblPrEx>
        <w:trPr>
          <w:cantSplit/>
          <w:trHeight w:val="560"/>
        </w:trPr>
        <w:tc>
          <w:tcPr>
            <w:tcW w:w="700" w:type="dxa"/>
            <w:tcMar>
              <w:top w:w="0" w:type="dxa"/>
              <w:bottom w:w="0" w:type="dxa"/>
            </w:tcMar>
            <w:vAlign w:val="center"/>
          </w:tcPr>
          <w:p w14:paraId="20A51C3A" w14:textId="77777777" w:rsidR="00161CC3" w:rsidRDefault="00161CC3">
            <w:pPr>
              <w:keepNext/>
              <w:keepLines/>
              <w:spacing w:after="0" w:line="240" w:lineRule="auto"/>
            </w:pPr>
          </w:p>
        </w:tc>
        <w:tc>
          <w:tcPr>
            <w:tcW w:w="3180" w:type="dxa"/>
            <w:tcMar>
              <w:top w:w="0" w:type="dxa"/>
              <w:bottom w:w="0" w:type="dxa"/>
            </w:tcMar>
            <w:vAlign w:val="center"/>
          </w:tcPr>
          <w:p w14:paraId="7938A646" w14:textId="77777777" w:rsidR="00161CC3" w:rsidRDefault="00000000">
            <w:pPr>
              <w:keepNext/>
              <w:keepLines/>
              <w:spacing w:after="0" w:line="240" w:lineRule="auto"/>
            </w:pPr>
            <w:r>
              <w:rPr>
                <w:sz w:val="18"/>
              </w:rPr>
              <w:t>Međusobne obveze subjekata općeg proračuna</w:t>
            </w:r>
          </w:p>
        </w:tc>
        <w:tc>
          <w:tcPr>
            <w:tcW w:w="700" w:type="dxa"/>
            <w:tcMar>
              <w:top w:w="0" w:type="dxa"/>
              <w:bottom w:w="0" w:type="dxa"/>
            </w:tcMar>
            <w:vAlign w:val="center"/>
          </w:tcPr>
          <w:p w14:paraId="0D4FB708" w14:textId="77777777" w:rsidR="00161CC3" w:rsidRDefault="00000000">
            <w:pPr>
              <w:keepNext/>
              <w:keepLines/>
              <w:spacing w:after="0" w:line="240" w:lineRule="auto"/>
            </w:pPr>
            <w:r>
              <w:rPr>
                <w:sz w:val="18"/>
              </w:rPr>
              <w:t>V010</w:t>
            </w:r>
          </w:p>
        </w:tc>
        <w:tc>
          <w:tcPr>
            <w:tcW w:w="1860" w:type="dxa"/>
            <w:tcMar>
              <w:top w:w="0" w:type="dxa"/>
              <w:bottom w:w="0" w:type="dxa"/>
            </w:tcMar>
            <w:vAlign w:val="center"/>
          </w:tcPr>
          <w:p w14:paraId="462D5B17" w14:textId="77777777" w:rsidR="00161CC3" w:rsidRDefault="00000000">
            <w:pPr>
              <w:keepNext/>
              <w:keepLines/>
              <w:spacing w:after="0" w:line="240" w:lineRule="auto"/>
              <w:jc w:val="right"/>
            </w:pPr>
            <w:r>
              <w:rPr>
                <w:sz w:val="18"/>
              </w:rPr>
              <w:t>462.987,12</w:t>
            </w:r>
          </w:p>
        </w:tc>
        <w:tc>
          <w:tcPr>
            <w:tcW w:w="700" w:type="dxa"/>
            <w:tcMar>
              <w:top w:w="0" w:type="dxa"/>
              <w:bottom w:w="0" w:type="dxa"/>
            </w:tcMar>
            <w:vAlign w:val="center"/>
          </w:tcPr>
          <w:p w14:paraId="550C4923" w14:textId="77777777" w:rsidR="00161CC3" w:rsidRDefault="00000000">
            <w:pPr>
              <w:keepNext/>
              <w:keepLines/>
              <w:spacing w:after="0" w:line="240" w:lineRule="auto"/>
              <w:jc w:val="right"/>
            </w:pPr>
            <w:r>
              <w:rPr>
                <w:sz w:val="18"/>
              </w:rPr>
              <w:t>-</w:t>
            </w:r>
          </w:p>
        </w:tc>
      </w:tr>
    </w:tbl>
    <w:p w14:paraId="6FE0617B" w14:textId="77777777" w:rsidR="00161CC3" w:rsidRDefault="00161CC3">
      <w:pPr>
        <w:spacing w:after="0"/>
      </w:pPr>
    </w:p>
    <w:p w14:paraId="0E0892B7" w14:textId="77777777" w:rsidR="00161CC3" w:rsidRDefault="00000000">
      <w:r>
        <w:t>Međusobne obveze proračunskih korisnika odnose se na obveze prema državnom proračunu za prihode od prodaje stanova i obveze za državne prihode od naknade za nezakonito izgrađene zgrade i obveza za naplaćena sredstva proračunskih korisnika.</w:t>
      </w:r>
    </w:p>
    <w:p w14:paraId="79F120A9" w14:textId="77777777" w:rsidR="00161CC3" w:rsidRDefault="00161CC3"/>
    <w:p w14:paraId="327EFDB7" w14:textId="77777777" w:rsidR="00161CC3" w:rsidRDefault="00000000">
      <w:pPr>
        <w:keepNext/>
        <w:spacing w:line="240" w:lineRule="auto"/>
        <w:jc w:val="center"/>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161CC3" w14:paraId="335FFCD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D814F2"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A85BFD"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DDA4BF"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05F0D5" w14:textId="77777777" w:rsidR="00161CC3"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DF4CCC1" w14:textId="77777777" w:rsidR="00161CC3" w:rsidRDefault="00000000">
            <w:pPr>
              <w:keepNext/>
              <w:keepLines/>
              <w:spacing w:after="0" w:line="240" w:lineRule="auto"/>
              <w:jc w:val="center"/>
            </w:pPr>
            <w:r>
              <w:rPr>
                <w:b/>
                <w:sz w:val="18"/>
              </w:rPr>
              <w:t>Indeks (%)</w:t>
            </w:r>
          </w:p>
        </w:tc>
      </w:tr>
      <w:tr w:rsidR="00161CC3" w14:paraId="04B6C03B" w14:textId="77777777">
        <w:tblPrEx>
          <w:tblCellMar>
            <w:top w:w="0" w:type="dxa"/>
            <w:bottom w:w="0" w:type="dxa"/>
          </w:tblCellMar>
        </w:tblPrEx>
        <w:trPr>
          <w:cantSplit/>
          <w:trHeight w:val="560"/>
        </w:trPr>
        <w:tc>
          <w:tcPr>
            <w:tcW w:w="700" w:type="dxa"/>
            <w:tcMar>
              <w:top w:w="0" w:type="dxa"/>
              <w:bottom w:w="0" w:type="dxa"/>
            </w:tcMar>
            <w:vAlign w:val="center"/>
          </w:tcPr>
          <w:p w14:paraId="0474110A" w14:textId="77777777" w:rsidR="00161CC3" w:rsidRDefault="00000000">
            <w:pPr>
              <w:keepNext/>
              <w:keepLines/>
              <w:spacing w:after="0" w:line="240" w:lineRule="auto"/>
            </w:pPr>
            <w:r>
              <w:rPr>
                <w:sz w:val="18"/>
              </w:rPr>
              <w:t>23</w:t>
            </w:r>
          </w:p>
        </w:tc>
        <w:tc>
          <w:tcPr>
            <w:tcW w:w="3180" w:type="dxa"/>
            <w:tcMar>
              <w:top w:w="0" w:type="dxa"/>
              <w:bottom w:w="0" w:type="dxa"/>
            </w:tcMar>
            <w:vAlign w:val="center"/>
          </w:tcPr>
          <w:p w14:paraId="73BE57F0" w14:textId="77777777" w:rsidR="00161CC3" w:rsidRDefault="00000000">
            <w:pPr>
              <w:keepNext/>
              <w:keepLines/>
              <w:spacing w:after="0" w:line="240" w:lineRule="auto"/>
            </w:pPr>
            <w:r>
              <w:rPr>
                <w:sz w:val="18"/>
              </w:rPr>
              <w:t>Obveze za rashode poslovanja</w:t>
            </w:r>
          </w:p>
        </w:tc>
        <w:tc>
          <w:tcPr>
            <w:tcW w:w="700" w:type="dxa"/>
            <w:tcMar>
              <w:top w:w="0" w:type="dxa"/>
              <w:bottom w:w="0" w:type="dxa"/>
            </w:tcMar>
            <w:vAlign w:val="center"/>
          </w:tcPr>
          <w:p w14:paraId="684091F0" w14:textId="77777777" w:rsidR="00161CC3" w:rsidRDefault="00000000">
            <w:pPr>
              <w:keepNext/>
              <w:keepLines/>
              <w:spacing w:after="0" w:line="240" w:lineRule="auto"/>
            </w:pPr>
            <w:r>
              <w:rPr>
                <w:sz w:val="18"/>
              </w:rPr>
              <w:t>ND23</w:t>
            </w:r>
          </w:p>
        </w:tc>
        <w:tc>
          <w:tcPr>
            <w:tcW w:w="1860" w:type="dxa"/>
            <w:tcMar>
              <w:top w:w="0" w:type="dxa"/>
              <w:bottom w:w="0" w:type="dxa"/>
            </w:tcMar>
            <w:vAlign w:val="center"/>
          </w:tcPr>
          <w:p w14:paraId="102B98DB" w14:textId="77777777" w:rsidR="00161CC3" w:rsidRDefault="00000000">
            <w:pPr>
              <w:keepNext/>
              <w:keepLines/>
              <w:spacing w:after="0" w:line="240" w:lineRule="auto"/>
              <w:jc w:val="right"/>
            </w:pPr>
            <w:r>
              <w:rPr>
                <w:sz w:val="18"/>
              </w:rPr>
              <w:t>353.731,51</w:t>
            </w:r>
          </w:p>
        </w:tc>
        <w:tc>
          <w:tcPr>
            <w:tcW w:w="700" w:type="dxa"/>
            <w:tcMar>
              <w:top w:w="0" w:type="dxa"/>
              <w:bottom w:w="0" w:type="dxa"/>
            </w:tcMar>
            <w:vAlign w:val="center"/>
          </w:tcPr>
          <w:p w14:paraId="7393B5EA" w14:textId="77777777" w:rsidR="00161CC3" w:rsidRDefault="00000000">
            <w:pPr>
              <w:keepNext/>
              <w:keepLines/>
              <w:spacing w:after="0" w:line="240" w:lineRule="auto"/>
              <w:jc w:val="right"/>
            </w:pPr>
            <w:r>
              <w:rPr>
                <w:sz w:val="18"/>
              </w:rPr>
              <w:t>-</w:t>
            </w:r>
          </w:p>
        </w:tc>
      </w:tr>
    </w:tbl>
    <w:p w14:paraId="71F95266" w14:textId="77777777" w:rsidR="00161CC3" w:rsidRDefault="00161CC3">
      <w:pPr>
        <w:spacing w:after="0"/>
      </w:pPr>
    </w:p>
    <w:p w14:paraId="04DB1163" w14:textId="77777777" w:rsidR="00161CC3" w:rsidRDefault="00000000">
      <w:r>
        <w:t xml:space="preserve">Nedospjele obveze za rashode poslovanja iznose 353.731,51 eura i odnose se na:  Obveze za rashode  poslovanja  -231 - obveze za zaposlene u iznosu od 130.921,20 eura, odnosno plaću za   prosinac 2025. godine koja je isplaćena 09.01.2026. godine  -232 - obveze za materijalne rashode iznose 133.044,31 eura i najvećim se dijelom odnose na obveze za komunalne usluge, usluge tekućeg održavanja te   energiju  -234 – obveze za financijske rashode u iznosu od 13.460,29 eura, odnose se na obveze za bankarske usluge te ostale nespomenute financijske rashode  -235 – obveze za subvencije u iznosu od 761,91 eura  -236- obveze za tekuće pomoći dane u inozemstvo i unutar općeg proračuna a iznose 3.920,28 eura  -237 – obveze za naknade građanima i kućanstvima u iznosu od 30.562,20  eura odnose se na obveze za isplatu socijalnih pomoći te na subvencije   komunalnih usluga  – ostale tekuće obveze u iznosu od </w:t>
      </w:r>
      <w:r>
        <w:lastRenderedPageBreak/>
        <w:t>41.061,32 eura se većim dijelom odnose na obveze za PDV-e prema državnom proračunu.  Većim dijelom obveze će biti podmirene početkom 2026. godine.</w:t>
      </w:r>
    </w:p>
    <w:p w14:paraId="6336C008" w14:textId="77777777" w:rsidR="00161CC3" w:rsidRDefault="00000000">
      <w:r>
        <w:t> </w:t>
      </w:r>
    </w:p>
    <w:p w14:paraId="4671CE2B" w14:textId="77777777" w:rsidR="00161CC3" w:rsidRDefault="00161CC3"/>
    <w:p w14:paraId="16FF2A9B" w14:textId="77777777" w:rsidR="00161CC3" w:rsidRDefault="00000000">
      <w:pPr>
        <w:keepNext/>
        <w:spacing w:line="240" w:lineRule="auto"/>
        <w:jc w:val="center"/>
      </w:pPr>
      <w:r>
        <w:rPr>
          <w:sz w:val="28"/>
        </w:rPr>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161CC3" w14:paraId="481EBF9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122DC3"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2726730"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ED4BA4"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7BBD0D" w14:textId="77777777" w:rsidR="00161CC3"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91079D5" w14:textId="77777777" w:rsidR="00161CC3" w:rsidRDefault="00000000">
            <w:pPr>
              <w:keepNext/>
              <w:keepLines/>
              <w:spacing w:after="0" w:line="240" w:lineRule="auto"/>
              <w:jc w:val="center"/>
            </w:pPr>
            <w:r>
              <w:rPr>
                <w:b/>
                <w:sz w:val="18"/>
              </w:rPr>
              <w:t>Indeks (%)</w:t>
            </w:r>
          </w:p>
        </w:tc>
      </w:tr>
      <w:tr w:rsidR="00161CC3" w14:paraId="2B0EC2D6" w14:textId="77777777">
        <w:tblPrEx>
          <w:tblCellMar>
            <w:top w:w="0" w:type="dxa"/>
            <w:bottom w:w="0" w:type="dxa"/>
          </w:tblCellMar>
        </w:tblPrEx>
        <w:trPr>
          <w:cantSplit/>
          <w:trHeight w:val="560"/>
        </w:trPr>
        <w:tc>
          <w:tcPr>
            <w:tcW w:w="700" w:type="dxa"/>
            <w:tcMar>
              <w:top w:w="0" w:type="dxa"/>
              <w:bottom w:w="0" w:type="dxa"/>
            </w:tcMar>
            <w:vAlign w:val="center"/>
          </w:tcPr>
          <w:p w14:paraId="5EA9BEB4" w14:textId="77777777" w:rsidR="00161CC3" w:rsidRDefault="00000000">
            <w:pPr>
              <w:keepNext/>
              <w:keepLines/>
              <w:spacing w:after="0" w:line="240" w:lineRule="auto"/>
            </w:pPr>
            <w:r>
              <w:rPr>
                <w:sz w:val="18"/>
              </w:rPr>
              <w:t>24</w:t>
            </w:r>
          </w:p>
        </w:tc>
        <w:tc>
          <w:tcPr>
            <w:tcW w:w="3180" w:type="dxa"/>
            <w:tcMar>
              <w:top w:w="0" w:type="dxa"/>
              <w:bottom w:w="0" w:type="dxa"/>
            </w:tcMar>
            <w:vAlign w:val="center"/>
          </w:tcPr>
          <w:p w14:paraId="3105E2F9" w14:textId="77777777" w:rsidR="00161CC3" w:rsidRDefault="00000000">
            <w:pPr>
              <w:keepNext/>
              <w:keepLines/>
              <w:spacing w:after="0" w:line="240" w:lineRule="auto"/>
            </w:pPr>
            <w:r>
              <w:rPr>
                <w:sz w:val="18"/>
              </w:rPr>
              <w:t>Obveze za nabavu nefinancijske imovine</w:t>
            </w:r>
          </w:p>
        </w:tc>
        <w:tc>
          <w:tcPr>
            <w:tcW w:w="700" w:type="dxa"/>
            <w:tcMar>
              <w:top w:w="0" w:type="dxa"/>
              <w:bottom w:w="0" w:type="dxa"/>
            </w:tcMar>
            <w:vAlign w:val="center"/>
          </w:tcPr>
          <w:p w14:paraId="49E12D4B" w14:textId="77777777" w:rsidR="00161CC3" w:rsidRDefault="00000000">
            <w:pPr>
              <w:keepNext/>
              <w:keepLines/>
              <w:spacing w:after="0" w:line="240" w:lineRule="auto"/>
            </w:pPr>
            <w:r>
              <w:rPr>
                <w:sz w:val="18"/>
              </w:rPr>
              <w:t>ND24</w:t>
            </w:r>
          </w:p>
        </w:tc>
        <w:tc>
          <w:tcPr>
            <w:tcW w:w="1860" w:type="dxa"/>
            <w:tcMar>
              <w:top w:w="0" w:type="dxa"/>
              <w:bottom w:w="0" w:type="dxa"/>
            </w:tcMar>
            <w:vAlign w:val="center"/>
          </w:tcPr>
          <w:p w14:paraId="5E9370FC" w14:textId="77777777" w:rsidR="00161CC3" w:rsidRDefault="00000000">
            <w:pPr>
              <w:keepNext/>
              <w:keepLines/>
              <w:spacing w:after="0" w:line="240" w:lineRule="auto"/>
              <w:jc w:val="right"/>
            </w:pPr>
            <w:r>
              <w:rPr>
                <w:sz w:val="18"/>
              </w:rPr>
              <w:t>128.428,84</w:t>
            </w:r>
          </w:p>
        </w:tc>
        <w:tc>
          <w:tcPr>
            <w:tcW w:w="700" w:type="dxa"/>
            <w:tcMar>
              <w:top w:w="0" w:type="dxa"/>
              <w:bottom w:w="0" w:type="dxa"/>
            </w:tcMar>
            <w:vAlign w:val="center"/>
          </w:tcPr>
          <w:p w14:paraId="59624C1C" w14:textId="77777777" w:rsidR="00161CC3" w:rsidRDefault="00000000">
            <w:pPr>
              <w:keepNext/>
              <w:keepLines/>
              <w:spacing w:after="0" w:line="240" w:lineRule="auto"/>
              <w:jc w:val="right"/>
            </w:pPr>
            <w:r>
              <w:rPr>
                <w:sz w:val="18"/>
              </w:rPr>
              <w:t>-</w:t>
            </w:r>
          </w:p>
        </w:tc>
      </w:tr>
    </w:tbl>
    <w:p w14:paraId="70555E76" w14:textId="77777777" w:rsidR="00161CC3" w:rsidRDefault="00161CC3">
      <w:pPr>
        <w:spacing w:after="0"/>
      </w:pPr>
    </w:p>
    <w:p w14:paraId="1615C317" w14:textId="77777777" w:rsidR="00161CC3" w:rsidRDefault="00000000">
      <w:r>
        <w:t xml:space="preserve">Nedospjele obveze za nabavu nefinancijske imovine iznose 128.428,84 eura i  najvećim dijelom odnose se na usluge stručnog nadzora nad izvođenjem radova sanacije kamene preslice crkve Gospe od Karmela,  za veliko kupatilo, na izgradnju i nabavu opreme za novi dječji vrtić na </w:t>
      </w:r>
      <w:proofErr w:type="spellStart"/>
      <w:r>
        <w:t>Vinežu</w:t>
      </w:r>
      <w:proofErr w:type="spellEnd"/>
      <w:r>
        <w:t>, na nabavu računalne opreme za djelatnike gradske uprave. Nastale obveze biti će podmirene početkom 2026. godine.</w:t>
      </w:r>
    </w:p>
    <w:p w14:paraId="5BEA0453" w14:textId="77777777" w:rsidR="00161CC3" w:rsidRDefault="00000000">
      <w:r>
        <w:t> </w:t>
      </w:r>
    </w:p>
    <w:p w14:paraId="3BB4BC1E" w14:textId="77777777" w:rsidR="00161CC3" w:rsidRDefault="00161CC3"/>
    <w:p w14:paraId="1FA1AE2E" w14:textId="77777777" w:rsidR="00161CC3" w:rsidRDefault="00000000">
      <w:pPr>
        <w:keepNext/>
        <w:spacing w:line="240" w:lineRule="auto"/>
        <w:jc w:val="center"/>
      </w:pPr>
      <w:r>
        <w:rPr>
          <w:sz w:val="28"/>
        </w:rPr>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161CC3" w14:paraId="5EDD508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A3E80A" w14:textId="77777777" w:rsidR="00161CC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098C7D" w14:textId="77777777" w:rsidR="00161CC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5F94D8" w14:textId="77777777" w:rsidR="00161CC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DDD87D" w14:textId="77777777" w:rsidR="00161CC3"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2C73230" w14:textId="77777777" w:rsidR="00161CC3" w:rsidRDefault="00000000">
            <w:pPr>
              <w:keepNext/>
              <w:keepLines/>
              <w:spacing w:after="0" w:line="240" w:lineRule="auto"/>
              <w:jc w:val="center"/>
            </w:pPr>
            <w:r>
              <w:rPr>
                <w:b/>
                <w:sz w:val="18"/>
              </w:rPr>
              <w:t>Indeks (%)</w:t>
            </w:r>
          </w:p>
        </w:tc>
      </w:tr>
      <w:tr w:rsidR="00161CC3" w14:paraId="3D1A07CA" w14:textId="77777777">
        <w:tblPrEx>
          <w:tblCellMar>
            <w:top w:w="0" w:type="dxa"/>
            <w:bottom w:w="0" w:type="dxa"/>
          </w:tblCellMar>
        </w:tblPrEx>
        <w:trPr>
          <w:cantSplit/>
          <w:trHeight w:val="560"/>
        </w:trPr>
        <w:tc>
          <w:tcPr>
            <w:tcW w:w="700" w:type="dxa"/>
            <w:tcMar>
              <w:top w:w="0" w:type="dxa"/>
              <w:bottom w:w="0" w:type="dxa"/>
            </w:tcMar>
            <w:vAlign w:val="center"/>
          </w:tcPr>
          <w:p w14:paraId="6B680776" w14:textId="77777777" w:rsidR="00161CC3" w:rsidRDefault="00000000">
            <w:pPr>
              <w:keepNext/>
              <w:keepLines/>
              <w:spacing w:after="0" w:line="240" w:lineRule="auto"/>
            </w:pPr>
            <w:r>
              <w:rPr>
                <w:sz w:val="18"/>
              </w:rPr>
              <w:t>dio 25,26</w:t>
            </w:r>
          </w:p>
        </w:tc>
        <w:tc>
          <w:tcPr>
            <w:tcW w:w="3180" w:type="dxa"/>
            <w:tcMar>
              <w:top w:w="0" w:type="dxa"/>
              <w:bottom w:w="0" w:type="dxa"/>
            </w:tcMar>
            <w:vAlign w:val="center"/>
          </w:tcPr>
          <w:p w14:paraId="10F33CB2" w14:textId="77777777" w:rsidR="00161CC3" w:rsidRDefault="00000000">
            <w:pPr>
              <w:keepNext/>
              <w:keepLines/>
              <w:spacing w:after="0" w:line="240" w:lineRule="auto"/>
            </w:pPr>
            <w:r>
              <w:rPr>
                <w:sz w:val="18"/>
              </w:rPr>
              <w:t>Obveze za financijsku imovinu</w:t>
            </w:r>
          </w:p>
        </w:tc>
        <w:tc>
          <w:tcPr>
            <w:tcW w:w="700" w:type="dxa"/>
            <w:tcMar>
              <w:top w:w="0" w:type="dxa"/>
              <w:bottom w:w="0" w:type="dxa"/>
            </w:tcMar>
            <w:vAlign w:val="center"/>
          </w:tcPr>
          <w:p w14:paraId="5E6C31D5" w14:textId="77777777" w:rsidR="00161CC3" w:rsidRDefault="00000000">
            <w:pPr>
              <w:keepNext/>
              <w:keepLines/>
              <w:spacing w:after="0" w:line="240" w:lineRule="auto"/>
            </w:pPr>
            <w:r>
              <w:rPr>
                <w:sz w:val="18"/>
              </w:rPr>
              <w:t>ND dio 25,26</w:t>
            </w:r>
          </w:p>
        </w:tc>
        <w:tc>
          <w:tcPr>
            <w:tcW w:w="1860" w:type="dxa"/>
            <w:tcMar>
              <w:top w:w="0" w:type="dxa"/>
              <w:bottom w:w="0" w:type="dxa"/>
            </w:tcMar>
            <w:vAlign w:val="center"/>
          </w:tcPr>
          <w:p w14:paraId="77C0A8EB" w14:textId="77777777" w:rsidR="00161CC3" w:rsidRDefault="00000000">
            <w:pPr>
              <w:keepNext/>
              <w:keepLines/>
              <w:spacing w:after="0" w:line="240" w:lineRule="auto"/>
              <w:jc w:val="right"/>
            </w:pPr>
            <w:r>
              <w:rPr>
                <w:sz w:val="18"/>
              </w:rPr>
              <w:t>6.227.251,97</w:t>
            </w:r>
          </w:p>
        </w:tc>
        <w:tc>
          <w:tcPr>
            <w:tcW w:w="700" w:type="dxa"/>
            <w:tcMar>
              <w:top w:w="0" w:type="dxa"/>
              <w:bottom w:w="0" w:type="dxa"/>
            </w:tcMar>
            <w:vAlign w:val="center"/>
          </w:tcPr>
          <w:p w14:paraId="351D38D5" w14:textId="77777777" w:rsidR="00161CC3" w:rsidRDefault="00000000">
            <w:pPr>
              <w:keepNext/>
              <w:keepLines/>
              <w:spacing w:after="0" w:line="240" w:lineRule="auto"/>
              <w:jc w:val="right"/>
            </w:pPr>
            <w:r>
              <w:rPr>
                <w:sz w:val="18"/>
              </w:rPr>
              <w:t>-</w:t>
            </w:r>
          </w:p>
        </w:tc>
      </w:tr>
    </w:tbl>
    <w:p w14:paraId="2AA9A401" w14:textId="77777777" w:rsidR="00161CC3" w:rsidRDefault="00161CC3">
      <w:pPr>
        <w:spacing w:after="0"/>
      </w:pPr>
    </w:p>
    <w:p w14:paraId="4905891D" w14:textId="77777777" w:rsidR="00161CC3" w:rsidRDefault="00000000">
      <w:r>
        <w:t>Nedospjele obveze za financijsku imovinu iznose 6.227.251,97 eura i odnose se na obveze za kredite i zajmove s dospijećima prema planovima otplate kredita.</w:t>
      </w:r>
    </w:p>
    <w:p w14:paraId="7469F3B3" w14:textId="77777777" w:rsidR="00161CC3" w:rsidRDefault="00161CC3"/>
    <w:p w14:paraId="1FB715E3" w14:textId="77777777" w:rsidR="00161CC3" w:rsidRDefault="00000000">
      <w:pPr>
        <w:keepNext/>
        <w:spacing w:line="240" w:lineRule="auto"/>
        <w:jc w:val="center"/>
      </w:pPr>
      <w:r>
        <w:rPr>
          <w:sz w:val="28"/>
        </w:rPr>
        <w:t>Bilješka 70.</w:t>
      </w:r>
    </w:p>
    <w:p w14:paraId="4DCF62AE" w14:textId="77777777" w:rsidR="00161CC3" w:rsidRDefault="00000000">
      <w:pPr>
        <w:spacing w:line="240" w:lineRule="auto"/>
        <w:jc w:val="both"/>
      </w:pPr>
      <w:r>
        <w:rPr>
          <w:b/>
        </w:rPr>
        <w:t>EU izvještaj</w:t>
      </w:r>
    </w:p>
    <w:p w14:paraId="28099669" w14:textId="77777777" w:rsidR="00161CC3" w:rsidRDefault="00000000">
      <w:r>
        <w:t>U izvještaju su obuhvaćeni podaci za ukupno 7 projekata i to po izvorima kako slijedi:</w:t>
      </w:r>
    </w:p>
    <w:p w14:paraId="12DC14E3" w14:textId="77777777" w:rsidR="00161CC3" w:rsidRDefault="00000000">
      <w:r>
        <w:t>5012 – nacionalno sufinanciranje – projekt Ravnomjerna socijalna i obrazovna inkluzija učenika s teškoćama u razvoju IV - RAST IV</w:t>
      </w:r>
      <w:r>
        <w:br/>
        <w:t xml:space="preserve">510 – Programi Unije – projekt </w:t>
      </w:r>
      <w:proofErr w:type="spellStart"/>
      <w:r>
        <w:t>Road</w:t>
      </w:r>
      <w:proofErr w:type="spellEnd"/>
      <w:r>
        <w:t xml:space="preserve"> 2 </w:t>
      </w:r>
      <w:proofErr w:type="spellStart"/>
      <w:r>
        <w:t>Resilience</w:t>
      </w:r>
      <w:proofErr w:type="spellEnd"/>
      <w:r>
        <w:t xml:space="preserve"> – </w:t>
      </w:r>
      <w:proofErr w:type="spellStart"/>
      <w:r>
        <w:t>Climate</w:t>
      </w:r>
      <w:proofErr w:type="spellEnd"/>
      <w:r>
        <w:t xml:space="preserve"> </w:t>
      </w:r>
      <w:proofErr w:type="spellStart"/>
      <w:r>
        <w:t>Resilience</w:t>
      </w:r>
      <w:proofErr w:type="spellEnd"/>
      <w:r>
        <w:t xml:space="preserve"> </w:t>
      </w:r>
      <w:proofErr w:type="spellStart"/>
      <w:r>
        <w:t>Pathways</w:t>
      </w:r>
      <w:proofErr w:type="spellEnd"/>
      <w:r>
        <w:t xml:space="preserve"> for Poreč </w:t>
      </w:r>
      <w:proofErr w:type="spellStart"/>
      <w:r>
        <w:t>and</w:t>
      </w:r>
      <w:proofErr w:type="spellEnd"/>
      <w:r>
        <w:t xml:space="preserve"> Labin </w:t>
      </w:r>
      <w:proofErr w:type="spellStart"/>
      <w:r>
        <w:t>areas</w:t>
      </w:r>
      <w:proofErr w:type="spellEnd"/>
      <w:r>
        <w:br/>
        <w:t>561 – Europski socijalni fond plus – projekt Ravnomjerna socijalna i obrazovna inkluzija učenika s teškoćama u razvoju IV - RAST IV</w:t>
      </w:r>
      <w:r>
        <w:br/>
        <w:t>563 – Europski fond za regionalni razvoj:</w:t>
      </w:r>
      <w:r>
        <w:br/>
        <w:t xml:space="preserve">- CICERO – Croatia - </w:t>
      </w:r>
      <w:proofErr w:type="spellStart"/>
      <w:r>
        <w:t>Italy</w:t>
      </w:r>
      <w:proofErr w:type="spellEnd"/>
      <w:r>
        <w:t xml:space="preserve"> Civil </w:t>
      </w:r>
      <w:proofErr w:type="spellStart"/>
      <w:r>
        <w:t>protEction</w:t>
      </w:r>
      <w:proofErr w:type="spellEnd"/>
      <w:r>
        <w:t xml:space="preserve"> </w:t>
      </w:r>
      <w:proofErr w:type="spellStart"/>
      <w:r>
        <w:t>collaboRatiOn</w:t>
      </w:r>
      <w:proofErr w:type="spellEnd"/>
    </w:p>
    <w:p w14:paraId="2019FAAB" w14:textId="77777777" w:rsidR="00161CC3" w:rsidRDefault="00000000">
      <w:r>
        <w:t>- CO-MAY</w:t>
      </w:r>
    </w:p>
    <w:p w14:paraId="1FB2406C" w14:textId="77777777" w:rsidR="00161CC3" w:rsidRDefault="00000000">
      <w:r>
        <w:lastRenderedPageBreak/>
        <w:t xml:space="preserve">- SOSPHERE  - </w:t>
      </w:r>
      <w:proofErr w:type="spellStart"/>
      <w:r>
        <w:t>Solutions</w:t>
      </w:r>
      <w:proofErr w:type="spellEnd"/>
      <w:r>
        <w:t xml:space="preserve"> for </w:t>
      </w:r>
      <w:proofErr w:type="spellStart"/>
      <w:r>
        <w:t>Optimal</w:t>
      </w:r>
      <w:proofErr w:type="spellEnd"/>
      <w:r>
        <w:t xml:space="preserve"> Service </w:t>
      </w:r>
      <w:proofErr w:type="spellStart"/>
      <w:r>
        <w:t>Provision</w:t>
      </w:r>
      <w:proofErr w:type="spellEnd"/>
      <w:r>
        <w:t xml:space="preserve"> </w:t>
      </w:r>
      <w:proofErr w:type="spellStart"/>
      <w:r>
        <w:t>and</w:t>
      </w:r>
      <w:proofErr w:type="spellEnd"/>
      <w:r>
        <w:t xml:space="preserve"> Health </w:t>
      </w:r>
      <w:proofErr w:type="spellStart"/>
      <w:r>
        <w:t>Equity</w:t>
      </w:r>
      <w:proofErr w:type="spellEnd"/>
      <w:r>
        <w:t xml:space="preserve"> </w:t>
      </w:r>
      <w:proofErr w:type="spellStart"/>
      <w:r>
        <w:t>in</w:t>
      </w:r>
      <w:proofErr w:type="spellEnd"/>
      <w:r>
        <w:t xml:space="preserve"> </w:t>
      </w:r>
      <w:proofErr w:type="spellStart"/>
      <w:r>
        <w:t>Remote</w:t>
      </w:r>
      <w:proofErr w:type="spellEnd"/>
      <w:r>
        <w:t xml:space="preserve"> </w:t>
      </w:r>
      <w:proofErr w:type="spellStart"/>
      <w:r>
        <w:t>Environments</w:t>
      </w:r>
      <w:proofErr w:type="spellEnd"/>
    </w:p>
    <w:p w14:paraId="145E41F5" w14:textId="77777777" w:rsidR="00161CC3" w:rsidRDefault="00000000">
      <w:r>
        <w:t>581 – Mehanizam za oporavak i otpornost - bespovratna sredstva:</w:t>
      </w:r>
      <w:r>
        <w:br/>
        <w:t>- Pilot projekt razvoja zelene infrastrukture i/ili kružnog gospodarenja prostorom i zgradama na području Grada Labina</w:t>
      </w:r>
    </w:p>
    <w:p w14:paraId="7F151BDB" w14:textId="77777777" w:rsidR="00161CC3" w:rsidRDefault="00000000">
      <w:r>
        <w:t>- Strategija zelene urbane obnove Grada Labina</w:t>
      </w:r>
    </w:p>
    <w:p w14:paraId="67DAA82D" w14:textId="77777777" w:rsidR="00161CC3" w:rsidRDefault="00161CC3"/>
    <w:sectPr w:rsidR="00161C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C3"/>
    <w:rsid w:val="00161CC3"/>
    <w:rsid w:val="00707048"/>
    <w:rsid w:val="00F07E7E"/>
    <w:rsid w:val="00F52C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BECD5"/>
  <w15:docId w15:val="{A7D8546F-C519-4AEC-9398-0B92CAE03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7327</Words>
  <Characters>41766</Characters>
  <Application>Microsoft Office Word</Application>
  <DocSecurity>0</DocSecurity>
  <Lines>348</Lines>
  <Paragraphs>97</Paragraphs>
  <ScaleCrop>false</ScaleCrop>
  <Company/>
  <LinksUpToDate>false</LinksUpToDate>
  <CharactersWithSpaces>48996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Kos</dc:creator>
  <cp:lastModifiedBy>Nataša Kos [Grad Labin]</cp:lastModifiedBy>
  <cp:revision>2</cp:revision>
  <dcterms:created xsi:type="dcterms:W3CDTF">2026-02-16T11:44:00Z</dcterms:created>
  <dcterms:modified xsi:type="dcterms:W3CDTF">2026-02-16T11:44:00Z</dcterms:modified>
</cp:coreProperties>
</file>